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C1415" w14:textId="576EF47F" w:rsidR="008E10B1" w:rsidRPr="00CC6497" w:rsidRDefault="00861142" w:rsidP="1556BCE2">
      <w:pPr>
        <w:spacing w:after="120" w:line="240" w:lineRule="auto"/>
        <w:jc w:val="center"/>
        <w:rPr>
          <w:b/>
          <w:bCs/>
          <w:i/>
          <w:iCs/>
          <w:sz w:val="20"/>
          <w:szCs w:val="20"/>
        </w:rPr>
      </w:pPr>
      <w:r w:rsidRPr="1556BCE2">
        <w:rPr>
          <w:sz w:val="20"/>
          <w:szCs w:val="20"/>
          <w:highlight w:val="yellow"/>
        </w:rPr>
        <w:t>KNOWLEDGE ORGANISER:</w:t>
      </w:r>
      <w:r w:rsidR="005C319C" w:rsidRPr="1556BCE2">
        <w:rPr>
          <w:sz w:val="20"/>
          <w:szCs w:val="20"/>
          <w:highlight w:val="yellow"/>
        </w:rPr>
        <w:t xml:space="preserve"> </w:t>
      </w:r>
      <w:r>
        <w:br/>
      </w:r>
      <w:r w:rsidR="00A025B3" w:rsidRPr="1556BCE2">
        <w:rPr>
          <w:b/>
          <w:bCs/>
          <w:i/>
          <w:iCs/>
          <w:sz w:val="28"/>
          <w:szCs w:val="28"/>
        </w:rPr>
        <w:t>The Woman in Black</w:t>
      </w:r>
    </w:p>
    <w:p w14:paraId="5CE9292A" w14:textId="3C9484BC" w:rsidR="00CB0D6E" w:rsidRDefault="00890B0B" w:rsidP="00486B4A">
      <w:pPr>
        <w:spacing w:after="0"/>
        <w:rPr>
          <w:b/>
          <w:bCs/>
          <w:color w:val="FF0000"/>
          <w:sz w:val="24"/>
          <w:szCs w:val="24"/>
          <w:u w:val="single"/>
        </w:rPr>
      </w:pPr>
      <w:r w:rsidRPr="1556BCE2">
        <w:rPr>
          <w:b/>
          <w:bCs/>
          <w:color w:val="FF0000"/>
          <w:sz w:val="24"/>
          <w:szCs w:val="24"/>
          <w:u w:val="single"/>
        </w:rPr>
        <w:t>Core Knowledge</w:t>
      </w:r>
    </w:p>
    <w:p w14:paraId="1ED64E6C" w14:textId="77777777" w:rsidR="000B467A" w:rsidRPr="00890B0B" w:rsidRDefault="000B467A" w:rsidP="00486B4A">
      <w:pPr>
        <w:spacing w:after="0"/>
        <w:rPr>
          <w:b/>
          <w:bCs/>
          <w:color w:val="FF0000"/>
          <w:sz w:val="14"/>
          <w:szCs w:val="14"/>
          <w:u w:val="single"/>
        </w:rPr>
      </w:pPr>
    </w:p>
    <w:tbl>
      <w:tblPr>
        <w:tblStyle w:val="TableGrid"/>
        <w:tblW w:w="3799" w:type="dxa"/>
        <w:tblInd w:w="-5" w:type="dxa"/>
        <w:tblLayout w:type="fixed"/>
        <w:tblLook w:val="04A0" w:firstRow="1" w:lastRow="0" w:firstColumn="1" w:lastColumn="0" w:noHBand="0" w:noVBand="1"/>
      </w:tblPr>
      <w:tblGrid>
        <w:gridCol w:w="3799"/>
      </w:tblGrid>
      <w:tr w:rsidR="00890B0B" w:rsidRPr="008A14FB" w14:paraId="1AC9453E" w14:textId="77777777" w:rsidTr="1556BCE2">
        <w:trPr>
          <w:cantSplit/>
          <w:trHeight w:val="152"/>
        </w:trPr>
        <w:tc>
          <w:tcPr>
            <w:tcW w:w="3799" w:type="dxa"/>
            <w:shd w:val="clear" w:color="auto" w:fill="FFFF00"/>
          </w:tcPr>
          <w:p w14:paraId="3CE0E54B" w14:textId="6C84633F" w:rsidR="00890B0B" w:rsidRPr="008A14FB" w:rsidRDefault="005A304E" w:rsidP="1556BCE2">
            <w:pPr>
              <w:rPr>
                <w:rFonts w:ascii="Calibri" w:hAnsi="Calibri" w:cs="Calibri"/>
                <w:b/>
                <w:bCs/>
                <w:sz w:val="19"/>
                <w:szCs w:val="19"/>
              </w:rPr>
            </w:pPr>
            <w:r w:rsidRPr="1556BCE2">
              <w:rPr>
                <w:rFonts w:ascii="Calibri" w:hAnsi="Calibri" w:cs="Calibri"/>
                <w:b/>
                <w:bCs/>
                <w:sz w:val="19"/>
                <w:szCs w:val="19"/>
              </w:rPr>
              <w:t>Gothic Conventions</w:t>
            </w:r>
          </w:p>
        </w:tc>
      </w:tr>
      <w:tr w:rsidR="00890B0B" w:rsidRPr="008A14FB" w14:paraId="113AEC54" w14:textId="77777777" w:rsidTr="1556BCE2">
        <w:trPr>
          <w:cantSplit/>
          <w:trHeight w:val="1134"/>
        </w:trPr>
        <w:tc>
          <w:tcPr>
            <w:tcW w:w="3799" w:type="dxa"/>
          </w:tcPr>
          <w:p w14:paraId="267A3A61" w14:textId="3C1981C8" w:rsidR="009A225A" w:rsidRPr="000B467A" w:rsidRDefault="000B467A" w:rsidP="009A225A">
            <w:pPr>
              <w:rPr>
                <w:rFonts w:eastAsia="Calibri"/>
                <w:sz w:val="18"/>
                <w:szCs w:val="18"/>
              </w:rPr>
            </w:pPr>
            <w:r w:rsidRPr="000B467A">
              <w:rPr>
                <w:rFonts w:cstheme="minorHAnsi"/>
                <w:sz w:val="18"/>
                <w:szCs w:val="18"/>
              </w:rPr>
              <w:drawing>
                <wp:anchor distT="0" distB="0" distL="114300" distR="114300" simplePos="0" relativeHeight="251658240" behindDoc="1" locked="0" layoutInCell="1" allowOverlap="1" wp14:anchorId="238D5E62" wp14:editId="56A69AF4">
                  <wp:simplePos x="0" y="0"/>
                  <wp:positionH relativeFrom="column">
                    <wp:posOffset>1083310</wp:posOffset>
                  </wp:positionH>
                  <wp:positionV relativeFrom="paragraph">
                    <wp:posOffset>1270</wp:posOffset>
                  </wp:positionV>
                  <wp:extent cx="1256665" cy="838200"/>
                  <wp:effectExtent l="0" t="0" r="635" b="0"/>
                  <wp:wrapTight wrapText="bothSides">
                    <wp:wrapPolygon edited="0">
                      <wp:start x="0" y="0"/>
                      <wp:lineTo x="0" y="21109"/>
                      <wp:lineTo x="21283" y="21109"/>
                      <wp:lineTo x="21283" y="0"/>
                      <wp:lineTo x="0" y="0"/>
                    </wp:wrapPolygon>
                  </wp:wrapTight>
                  <wp:docPr id="2050" name="Picture 2" descr="Gothic Elements - &quot;The Black Cat&quot; Taylor George">
                    <a:extLst xmlns:a="http://schemas.openxmlformats.org/drawingml/2006/main">
                      <a:ext uri="{FF2B5EF4-FFF2-40B4-BE49-F238E27FC236}">
                        <a16:creationId xmlns:a16="http://schemas.microsoft.com/office/drawing/2014/main" id="{3C659D00-D1C2-6D92-0C98-F9D3A1412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Gothic Elements - &quot;The Black Cat&quot; Taylor George">
                            <a:extLst>
                              <a:ext uri="{FF2B5EF4-FFF2-40B4-BE49-F238E27FC236}">
                                <a16:creationId xmlns:a16="http://schemas.microsoft.com/office/drawing/2014/main" id="{3C659D00-D1C2-6D92-0C98-F9D3A141256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665" cy="838200"/>
                          </a:xfrm>
                          <a:prstGeom prst="rect">
                            <a:avLst/>
                          </a:prstGeom>
                          <a:noFill/>
                        </pic:spPr>
                      </pic:pic>
                    </a:graphicData>
                  </a:graphic>
                  <wp14:sizeRelH relativeFrom="page">
                    <wp14:pctWidth>0</wp14:pctWidth>
                  </wp14:sizeRelH>
                  <wp14:sizeRelV relativeFrom="page">
                    <wp14:pctHeight>0</wp14:pctHeight>
                  </wp14:sizeRelV>
                </wp:anchor>
              </w:drawing>
            </w:r>
            <w:r w:rsidR="009A225A" w:rsidRPr="000B467A">
              <w:rPr>
                <w:rFonts w:cstheme="minorHAnsi"/>
                <w:sz w:val="18"/>
                <w:szCs w:val="18"/>
              </w:rPr>
              <w:t>Gothic literature creates an ominous tone and atmosphere using the following conventions:</w:t>
            </w:r>
          </w:p>
          <w:p w14:paraId="3A1E681E" w14:textId="36C1990E" w:rsidR="009A225A" w:rsidRPr="000B467A" w:rsidRDefault="009A225A" w:rsidP="009A225A">
            <w:pPr>
              <w:pStyle w:val="ListParagraph"/>
              <w:numPr>
                <w:ilvl w:val="0"/>
                <w:numId w:val="13"/>
              </w:numPr>
              <w:ind w:left="170" w:hanging="170"/>
              <w:rPr>
                <w:sz w:val="18"/>
                <w:szCs w:val="18"/>
              </w:rPr>
            </w:pPr>
            <w:r w:rsidRPr="000B467A">
              <w:rPr>
                <w:rFonts w:cstheme="minorHAnsi"/>
                <w:sz w:val="18"/>
                <w:szCs w:val="18"/>
              </w:rPr>
              <w:t>An eerie, isolated and dark setting.</w:t>
            </w:r>
          </w:p>
          <w:p w14:paraId="3B8D0850" w14:textId="77777777" w:rsidR="009A225A" w:rsidRPr="000B467A" w:rsidRDefault="009A225A" w:rsidP="009A225A">
            <w:pPr>
              <w:pStyle w:val="ListParagraph"/>
              <w:numPr>
                <w:ilvl w:val="0"/>
                <w:numId w:val="13"/>
              </w:numPr>
              <w:ind w:left="170" w:hanging="170"/>
              <w:rPr>
                <w:sz w:val="18"/>
                <w:szCs w:val="18"/>
              </w:rPr>
            </w:pPr>
            <w:r w:rsidRPr="000B467A">
              <w:rPr>
                <w:rFonts w:cstheme="minorHAnsi"/>
                <w:sz w:val="18"/>
                <w:szCs w:val="18"/>
              </w:rPr>
              <w:t>Supernatural beings like ghosts or vampires.</w:t>
            </w:r>
          </w:p>
          <w:p w14:paraId="2C84AE7E" w14:textId="77777777" w:rsidR="009A225A" w:rsidRPr="000B467A" w:rsidRDefault="009A225A" w:rsidP="009A225A">
            <w:pPr>
              <w:pStyle w:val="ListParagraph"/>
              <w:numPr>
                <w:ilvl w:val="0"/>
                <w:numId w:val="13"/>
              </w:numPr>
              <w:ind w:left="170" w:hanging="170"/>
              <w:rPr>
                <w:sz w:val="18"/>
                <w:szCs w:val="18"/>
              </w:rPr>
            </w:pPr>
            <w:r w:rsidRPr="000B467A">
              <w:rPr>
                <w:rFonts w:cstheme="minorHAnsi"/>
                <w:sz w:val="18"/>
                <w:szCs w:val="18"/>
              </w:rPr>
              <w:t>A plot based around a mystery or secret.</w:t>
            </w:r>
          </w:p>
          <w:p w14:paraId="7926F1E9" w14:textId="77777777" w:rsidR="009A225A" w:rsidRPr="000B467A" w:rsidRDefault="009A225A" w:rsidP="009A225A">
            <w:pPr>
              <w:pStyle w:val="ListParagraph"/>
              <w:numPr>
                <w:ilvl w:val="0"/>
                <w:numId w:val="13"/>
              </w:numPr>
              <w:ind w:left="170" w:hanging="170"/>
              <w:rPr>
                <w:sz w:val="18"/>
                <w:szCs w:val="18"/>
              </w:rPr>
            </w:pPr>
            <w:r w:rsidRPr="000B467A">
              <w:rPr>
                <w:rFonts w:cstheme="minorHAnsi"/>
                <w:sz w:val="18"/>
                <w:szCs w:val="18"/>
              </w:rPr>
              <w:t>Melodrama – characters have extreme and exaggerated emotions such as fear and dread.</w:t>
            </w:r>
          </w:p>
          <w:p w14:paraId="661B6530" w14:textId="77777777" w:rsidR="009A225A" w:rsidRPr="000B467A" w:rsidRDefault="009A225A" w:rsidP="009A225A">
            <w:pPr>
              <w:pStyle w:val="ListParagraph"/>
              <w:numPr>
                <w:ilvl w:val="0"/>
                <w:numId w:val="13"/>
              </w:numPr>
              <w:ind w:left="170" w:hanging="170"/>
              <w:rPr>
                <w:sz w:val="18"/>
                <w:szCs w:val="18"/>
              </w:rPr>
            </w:pPr>
            <w:r w:rsidRPr="000B467A">
              <w:rPr>
                <w:rFonts w:cstheme="minorHAnsi"/>
                <w:sz w:val="18"/>
                <w:szCs w:val="18"/>
              </w:rPr>
              <w:t>Vulnerable women who are distressed because of their circumstances and/or the supernatural.</w:t>
            </w:r>
          </w:p>
          <w:p w14:paraId="500CAC4D" w14:textId="4C55A8C1" w:rsidR="005A304E" w:rsidRPr="009A225A" w:rsidRDefault="009A225A" w:rsidP="009A225A">
            <w:pPr>
              <w:pStyle w:val="ListParagraph"/>
              <w:numPr>
                <w:ilvl w:val="0"/>
                <w:numId w:val="13"/>
              </w:numPr>
              <w:ind w:left="170" w:hanging="170"/>
              <w:rPr>
                <w:sz w:val="20"/>
                <w:szCs w:val="20"/>
              </w:rPr>
            </w:pPr>
            <w:r w:rsidRPr="000B467A">
              <w:rPr>
                <w:rFonts w:cstheme="minorHAnsi"/>
                <w:sz w:val="18"/>
                <w:szCs w:val="18"/>
              </w:rPr>
              <w:t>Moments of horror, such as violence and death.</w:t>
            </w:r>
          </w:p>
        </w:tc>
      </w:tr>
    </w:tbl>
    <w:p w14:paraId="674B8D04" w14:textId="77777777" w:rsidR="001C3965" w:rsidRDefault="001C3965" w:rsidP="00890B0B">
      <w:pPr>
        <w:spacing w:after="0" w:line="240" w:lineRule="auto"/>
        <w:rPr>
          <w:b/>
          <w:bCs/>
          <w:color w:val="FF0000"/>
          <w:sz w:val="18"/>
          <w:szCs w:val="18"/>
          <w:u w:val="single"/>
        </w:rPr>
      </w:pPr>
    </w:p>
    <w:tbl>
      <w:tblPr>
        <w:tblStyle w:val="TableGrid"/>
        <w:tblW w:w="3799" w:type="dxa"/>
        <w:tblInd w:w="-5" w:type="dxa"/>
        <w:tblLayout w:type="fixed"/>
        <w:tblLook w:val="04A0" w:firstRow="1" w:lastRow="0" w:firstColumn="1" w:lastColumn="0" w:noHBand="0" w:noVBand="1"/>
      </w:tblPr>
      <w:tblGrid>
        <w:gridCol w:w="3799"/>
      </w:tblGrid>
      <w:tr w:rsidR="009A225A" w:rsidRPr="008A14FB" w14:paraId="00767A80" w14:textId="77777777" w:rsidTr="000B467A">
        <w:trPr>
          <w:trHeight w:val="152"/>
        </w:trPr>
        <w:tc>
          <w:tcPr>
            <w:tcW w:w="3799" w:type="dxa"/>
            <w:shd w:val="clear" w:color="auto" w:fill="FFFF00"/>
          </w:tcPr>
          <w:p w14:paraId="7B9AE600" w14:textId="6B03374C" w:rsidR="009A225A" w:rsidRPr="008A14FB" w:rsidRDefault="009A225A" w:rsidP="008716BE">
            <w:pPr>
              <w:rPr>
                <w:rFonts w:ascii="Calibri" w:hAnsi="Calibri" w:cs="Calibri"/>
                <w:b/>
                <w:bCs/>
                <w:sz w:val="19"/>
                <w:szCs w:val="19"/>
              </w:rPr>
            </w:pPr>
            <w:r w:rsidRPr="1556BCE2">
              <w:rPr>
                <w:rFonts w:ascii="Calibri" w:hAnsi="Calibri" w:cs="Calibri"/>
                <w:b/>
                <w:bCs/>
                <w:sz w:val="19"/>
                <w:szCs w:val="19"/>
              </w:rPr>
              <w:t>Attitudes towards the Supernatural in the Victorian era.</w:t>
            </w:r>
          </w:p>
        </w:tc>
      </w:tr>
      <w:tr w:rsidR="009A225A" w:rsidRPr="000B467A" w14:paraId="3A57FAFC" w14:textId="77777777" w:rsidTr="000B467A">
        <w:trPr>
          <w:trHeight w:val="1134"/>
        </w:trPr>
        <w:tc>
          <w:tcPr>
            <w:tcW w:w="3799" w:type="dxa"/>
          </w:tcPr>
          <w:p w14:paraId="414F1347" w14:textId="3923C020" w:rsidR="009A225A" w:rsidRPr="000B467A" w:rsidRDefault="000B467A" w:rsidP="009A225A">
            <w:pPr>
              <w:pStyle w:val="ListParagraph"/>
              <w:numPr>
                <w:ilvl w:val="0"/>
                <w:numId w:val="13"/>
              </w:numPr>
              <w:rPr>
                <w:rStyle w:val="normaltextrun"/>
                <w:rFonts w:ascii="Calibri" w:hAnsi="Calibri" w:cs="Calibri"/>
                <w:color w:val="000000"/>
                <w:sz w:val="18"/>
                <w:szCs w:val="18"/>
                <w:shd w:val="clear" w:color="auto" w:fill="FFFFFF"/>
              </w:rPr>
            </w:pPr>
            <w:r w:rsidRPr="008811B6">
              <w:rPr>
                <w:rFonts w:cstheme="minorHAnsi"/>
                <w:noProof/>
                <w:sz w:val="24"/>
                <w:szCs w:val="24"/>
              </w:rPr>
              <w:drawing>
                <wp:anchor distT="0" distB="0" distL="114300" distR="114300" simplePos="0" relativeHeight="251660288" behindDoc="1" locked="0" layoutInCell="1" allowOverlap="1" wp14:anchorId="1668CF7C" wp14:editId="40E31CAF">
                  <wp:simplePos x="0" y="0"/>
                  <wp:positionH relativeFrom="column">
                    <wp:posOffset>1033145</wp:posOffset>
                  </wp:positionH>
                  <wp:positionV relativeFrom="paragraph">
                    <wp:posOffset>38100</wp:posOffset>
                  </wp:positionV>
                  <wp:extent cx="1242060" cy="882650"/>
                  <wp:effectExtent l="0" t="0" r="0" b="0"/>
                  <wp:wrapTight wrapText="bothSides">
                    <wp:wrapPolygon edited="0">
                      <wp:start x="0" y="0"/>
                      <wp:lineTo x="0" y="20978"/>
                      <wp:lineTo x="21202" y="20978"/>
                      <wp:lineTo x="21202" y="0"/>
                      <wp:lineTo x="0" y="0"/>
                    </wp:wrapPolygon>
                  </wp:wrapTight>
                  <wp:docPr id="1555113688" name="Picture 155511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818" t="1227" r="6736" b="3437"/>
                          <a:stretch/>
                        </pic:blipFill>
                        <pic:spPr bwMode="auto">
                          <a:xfrm>
                            <a:off x="0" y="0"/>
                            <a:ext cx="1242060" cy="882650"/>
                          </a:xfrm>
                          <a:prstGeom prst="rect">
                            <a:avLst/>
                          </a:prstGeom>
                          <a:solidFill>
                            <a:srgbClr val="FFFFFF">
                              <a:shade val="85000"/>
                            </a:srgbClr>
                          </a:solidFill>
                          <a:ln w="88900" cap="sq">
                            <a:noFill/>
                            <a:miter lim="800000"/>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25A" w:rsidRPr="000B467A">
              <w:rPr>
                <w:rStyle w:val="normaltextrun"/>
                <w:rFonts w:ascii="Calibri" w:hAnsi="Calibri" w:cs="Calibri"/>
                <w:color w:val="000000"/>
                <w:sz w:val="18"/>
                <w:szCs w:val="18"/>
                <w:shd w:val="clear" w:color="auto" w:fill="FFFFFF"/>
              </w:rPr>
              <w:t xml:space="preserve">It was traditional for families to gather around the fire and tell ghost stories on Christmas Eve. This tradition has its roots in the Pagan belief that spirits could walk among us the day before holy events.  </w:t>
            </w:r>
          </w:p>
          <w:p w14:paraId="11A3508E" w14:textId="77777777" w:rsidR="009A225A" w:rsidRPr="000B467A" w:rsidRDefault="009A225A" w:rsidP="009A225A">
            <w:pPr>
              <w:pStyle w:val="ListParagraph"/>
              <w:numPr>
                <w:ilvl w:val="0"/>
                <w:numId w:val="13"/>
              </w:numPr>
              <w:rPr>
                <w:rStyle w:val="normaltextrun"/>
                <w:rFonts w:ascii="Calibri" w:hAnsi="Calibri" w:cs="Calibri"/>
                <w:color w:val="000000"/>
                <w:sz w:val="18"/>
                <w:szCs w:val="18"/>
                <w:shd w:val="clear" w:color="auto" w:fill="FFFFFF"/>
              </w:rPr>
            </w:pPr>
            <w:r w:rsidRPr="000B467A">
              <w:rPr>
                <w:rStyle w:val="normaltextrun"/>
                <w:rFonts w:ascii="Calibri" w:hAnsi="Calibri" w:cs="Calibri"/>
                <w:color w:val="000000"/>
                <w:sz w:val="18"/>
                <w:szCs w:val="18"/>
                <w:shd w:val="clear" w:color="auto" w:fill="FFFFFF"/>
              </w:rPr>
              <w:t>Ghost stories became a way to spend time with family and share moral messages.</w:t>
            </w:r>
          </w:p>
          <w:p w14:paraId="7EA70883" w14:textId="77777777" w:rsidR="009A225A" w:rsidRPr="000B467A" w:rsidRDefault="009A225A" w:rsidP="009A225A">
            <w:pPr>
              <w:pStyle w:val="ListParagraph"/>
              <w:numPr>
                <w:ilvl w:val="0"/>
                <w:numId w:val="13"/>
              </w:numPr>
              <w:rPr>
                <w:rStyle w:val="normaltextrun"/>
                <w:rFonts w:ascii="Calibri" w:hAnsi="Calibri" w:cs="Calibri"/>
                <w:color w:val="000000"/>
                <w:sz w:val="18"/>
                <w:szCs w:val="18"/>
                <w:shd w:val="clear" w:color="auto" w:fill="FFFFFF"/>
              </w:rPr>
            </w:pPr>
            <w:r w:rsidRPr="000B467A">
              <w:rPr>
                <w:rStyle w:val="normaltextrun"/>
                <w:rFonts w:ascii="Calibri" w:hAnsi="Calibri" w:cs="Calibri"/>
                <w:color w:val="000000"/>
                <w:sz w:val="18"/>
                <w:szCs w:val="18"/>
                <w:shd w:val="clear" w:color="auto" w:fill="FFFFFF"/>
              </w:rPr>
              <w:t>Poorer families who could not afford books shared stories orally.</w:t>
            </w:r>
          </w:p>
          <w:p w14:paraId="0B3E195C" w14:textId="77777777" w:rsidR="000B467A" w:rsidRPr="000B467A" w:rsidRDefault="000B467A" w:rsidP="000B467A">
            <w:pPr>
              <w:pStyle w:val="ListParagraph"/>
              <w:numPr>
                <w:ilvl w:val="0"/>
                <w:numId w:val="13"/>
              </w:numPr>
              <w:rPr>
                <w:rFonts w:cstheme="minorHAnsi"/>
                <w:sz w:val="18"/>
                <w:szCs w:val="18"/>
              </w:rPr>
            </w:pPr>
            <w:r w:rsidRPr="000B467A">
              <w:rPr>
                <w:rFonts w:cstheme="minorHAnsi"/>
                <w:sz w:val="18"/>
                <w:szCs w:val="18"/>
              </w:rPr>
              <w:t xml:space="preserve">As scientific beliefs grew, many people became interested in the supernatural to understand things that traditional scientific methods couldn’t explain. </w:t>
            </w:r>
          </w:p>
          <w:p w14:paraId="4091F45A" w14:textId="7BA53D4A" w:rsidR="000B467A" w:rsidRPr="000B467A" w:rsidRDefault="000B467A" w:rsidP="000B467A">
            <w:pPr>
              <w:pStyle w:val="ListParagraph"/>
              <w:numPr>
                <w:ilvl w:val="0"/>
                <w:numId w:val="13"/>
              </w:numPr>
              <w:rPr>
                <w:rFonts w:cstheme="minorHAnsi"/>
                <w:sz w:val="18"/>
                <w:szCs w:val="18"/>
              </w:rPr>
            </w:pPr>
            <w:r w:rsidRPr="000B467A">
              <w:rPr>
                <w:rFonts w:cstheme="minorHAnsi"/>
                <w:sz w:val="18"/>
                <w:szCs w:val="18"/>
              </w:rPr>
              <w:t>Victorian interest in the supernatural was also fuelled by a sense of curiosity, entertainment, and a search for meaning in an industrialised world.</w:t>
            </w:r>
          </w:p>
        </w:tc>
      </w:tr>
    </w:tbl>
    <w:p w14:paraId="2D05F369" w14:textId="77777777" w:rsidR="009A225A" w:rsidRPr="000B467A" w:rsidRDefault="009A225A" w:rsidP="00890B0B">
      <w:pPr>
        <w:spacing w:after="0" w:line="240" w:lineRule="auto"/>
        <w:rPr>
          <w:b/>
          <w:bCs/>
          <w:color w:val="FF0000"/>
          <w:sz w:val="16"/>
          <w:szCs w:val="16"/>
          <w:u w:val="single"/>
        </w:rPr>
      </w:pPr>
    </w:p>
    <w:p w14:paraId="617B0A56" w14:textId="77777777" w:rsidR="000B467A" w:rsidRDefault="000B467A" w:rsidP="009A225A">
      <w:pPr>
        <w:spacing w:after="0"/>
        <w:rPr>
          <w:b/>
          <w:bCs/>
          <w:color w:val="FF0000"/>
          <w:sz w:val="24"/>
          <w:szCs w:val="24"/>
          <w:u w:val="single"/>
        </w:rPr>
      </w:pPr>
    </w:p>
    <w:p w14:paraId="55D9E02A" w14:textId="484864C7" w:rsidR="009A225A" w:rsidRPr="00890B0B" w:rsidRDefault="009A225A" w:rsidP="009A225A">
      <w:pPr>
        <w:spacing w:after="0"/>
        <w:rPr>
          <w:b/>
          <w:bCs/>
          <w:color w:val="FF0000"/>
          <w:sz w:val="14"/>
          <w:szCs w:val="14"/>
          <w:u w:val="single"/>
        </w:rPr>
      </w:pPr>
      <w:r>
        <w:rPr>
          <w:b/>
          <w:bCs/>
          <w:color w:val="FF0000"/>
          <w:sz w:val="24"/>
          <w:szCs w:val="24"/>
          <w:u w:val="single"/>
        </w:rPr>
        <w:t>Hill’s Methods</w:t>
      </w:r>
    </w:p>
    <w:p w14:paraId="38D799FE" w14:textId="59EB763C" w:rsidR="009A225A" w:rsidRDefault="009A225A" w:rsidP="00890B0B">
      <w:pPr>
        <w:spacing w:after="0" w:line="240" w:lineRule="auto"/>
        <w:rPr>
          <w:b/>
          <w:bCs/>
          <w:color w:val="FF0000"/>
          <w:sz w:val="18"/>
          <w:szCs w:val="18"/>
          <w:u w:val="single"/>
        </w:rPr>
      </w:pPr>
    </w:p>
    <w:tbl>
      <w:tblPr>
        <w:tblStyle w:val="TableGrid"/>
        <w:tblW w:w="3799" w:type="dxa"/>
        <w:tblInd w:w="-5" w:type="dxa"/>
        <w:tblLayout w:type="fixed"/>
        <w:tblLook w:val="04A0" w:firstRow="1" w:lastRow="0" w:firstColumn="1" w:lastColumn="0" w:noHBand="0" w:noVBand="1"/>
      </w:tblPr>
      <w:tblGrid>
        <w:gridCol w:w="3799"/>
      </w:tblGrid>
      <w:tr w:rsidR="00890B0B" w:rsidRPr="008A14FB" w14:paraId="7992099B" w14:textId="77777777" w:rsidTr="4B4320B3">
        <w:trPr>
          <w:cantSplit/>
          <w:trHeight w:val="152"/>
        </w:trPr>
        <w:tc>
          <w:tcPr>
            <w:tcW w:w="3799" w:type="dxa"/>
            <w:shd w:val="clear" w:color="auto" w:fill="FFFF00"/>
          </w:tcPr>
          <w:p w14:paraId="32E440AD" w14:textId="27BF16BB" w:rsidR="00890B0B" w:rsidRPr="008A14FB" w:rsidRDefault="005A304E" w:rsidP="1556BCE2">
            <w:pPr>
              <w:rPr>
                <w:rFonts w:ascii="Calibri" w:hAnsi="Calibri" w:cs="Calibri"/>
                <w:b/>
                <w:bCs/>
                <w:sz w:val="19"/>
                <w:szCs w:val="19"/>
              </w:rPr>
            </w:pPr>
            <w:r w:rsidRPr="1556BCE2">
              <w:rPr>
                <w:rFonts w:ascii="Calibri" w:hAnsi="Calibri" w:cs="Calibri"/>
                <w:b/>
                <w:bCs/>
                <w:sz w:val="19"/>
                <w:szCs w:val="19"/>
              </w:rPr>
              <w:t>Gothic conventions used in The Woman in Black.</w:t>
            </w:r>
          </w:p>
        </w:tc>
      </w:tr>
      <w:tr w:rsidR="00890B0B" w:rsidRPr="00890B0B" w14:paraId="4006AD8A" w14:textId="77777777" w:rsidTr="00617B6A">
        <w:trPr>
          <w:trHeight w:val="1134"/>
        </w:trPr>
        <w:tc>
          <w:tcPr>
            <w:tcW w:w="3799" w:type="dxa"/>
          </w:tcPr>
          <w:p w14:paraId="7C65F232" w14:textId="28B1AE63" w:rsidR="005A304E" w:rsidRDefault="00023DA7" w:rsidP="1556BCE2">
            <w:pPr>
              <w:pStyle w:val="ListParagraph"/>
              <w:numPr>
                <w:ilvl w:val="0"/>
                <w:numId w:val="13"/>
              </w:numPr>
              <w:ind w:left="184" w:hanging="184"/>
              <w:rPr>
                <w:rFonts w:eastAsia="Calibri"/>
                <w:sz w:val="18"/>
                <w:szCs w:val="18"/>
              </w:rPr>
            </w:pPr>
            <w:r>
              <w:rPr>
                <w:noProof/>
              </w:rPr>
              <w:drawing>
                <wp:anchor distT="0" distB="0" distL="114300" distR="114300" simplePos="0" relativeHeight="251661312" behindDoc="1" locked="0" layoutInCell="1" allowOverlap="1" wp14:anchorId="7434DB3A" wp14:editId="68AF95AD">
                  <wp:simplePos x="0" y="0"/>
                  <wp:positionH relativeFrom="column">
                    <wp:posOffset>33655</wp:posOffset>
                  </wp:positionH>
                  <wp:positionV relativeFrom="paragraph">
                    <wp:posOffset>0</wp:posOffset>
                  </wp:positionV>
                  <wp:extent cx="2275205" cy="952500"/>
                  <wp:effectExtent l="0" t="0" r="0" b="0"/>
                  <wp:wrapTight wrapText="bothSides">
                    <wp:wrapPolygon edited="0">
                      <wp:start x="0" y="0"/>
                      <wp:lineTo x="0" y="21168"/>
                      <wp:lineTo x="21341" y="21168"/>
                      <wp:lineTo x="21341" y="0"/>
                      <wp:lineTo x="0" y="0"/>
                    </wp:wrapPolygon>
                  </wp:wrapTight>
                  <wp:docPr id="107296320" name="Picture 1" descr="Eel Marsh House towers ominously over Arthur in The Woman in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l Marsh House towers ominously over Arthur in The Woman in Black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902" b="12655"/>
                          <a:stretch/>
                        </pic:blipFill>
                        <pic:spPr bwMode="auto">
                          <a:xfrm>
                            <a:off x="0" y="0"/>
                            <a:ext cx="2275205"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304E" w:rsidRPr="005A19AE">
              <w:rPr>
                <w:rFonts w:eastAsia="Calibri"/>
                <w:b/>
                <w:bCs/>
                <w:sz w:val="18"/>
                <w:szCs w:val="18"/>
              </w:rPr>
              <w:t>Setting-</w:t>
            </w:r>
            <w:r w:rsidR="005A304E" w:rsidRPr="005A19AE">
              <w:rPr>
                <w:rFonts w:eastAsia="Calibri"/>
                <w:sz w:val="18"/>
                <w:szCs w:val="18"/>
              </w:rPr>
              <w:t xml:space="preserve"> Mostly set in Eel Marsh, a remote and isolated house. The house is old, decaying and secretive, cut off by a causeway.</w:t>
            </w:r>
            <w:r w:rsidR="008D6C44" w:rsidRPr="005A19AE">
              <w:rPr>
                <w:rFonts w:eastAsia="Calibri"/>
                <w:sz w:val="18"/>
                <w:szCs w:val="18"/>
              </w:rPr>
              <w:t xml:space="preserve"> It is haunted by the woman in black. </w:t>
            </w:r>
          </w:p>
          <w:p w14:paraId="48357DF0" w14:textId="40E5834D" w:rsidR="00297EAB" w:rsidRPr="00297EAB" w:rsidRDefault="00297EAB" w:rsidP="00297EAB">
            <w:pPr>
              <w:rPr>
                <w:rFonts w:eastAsia="Calibri"/>
                <w:sz w:val="18"/>
                <w:szCs w:val="18"/>
              </w:rPr>
            </w:pPr>
            <w:r>
              <w:rPr>
                <w:noProof/>
              </w:rPr>
              <w:drawing>
                <wp:inline distT="0" distB="0" distL="0" distR="0" wp14:anchorId="5B676DD8" wp14:editId="4D22D85C">
                  <wp:extent cx="2275205" cy="774700"/>
                  <wp:effectExtent l="0" t="0" r="0" b="6350"/>
                  <wp:docPr id="1256312716" name="Picture 2" descr="The Woman in Black – [FILMG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oman in Black – [FILMGRAB]"/>
                          <pic:cNvPicPr>
                            <a:picLocks noChangeAspect="1" noChangeArrowheads="1"/>
                          </pic:cNvPicPr>
                        </pic:nvPicPr>
                        <pic:blipFill rotWithShape="1">
                          <a:blip r:embed="rId11">
                            <a:extLst>
                              <a:ext uri="{28A0092B-C50C-407E-A947-70E740481C1C}">
                                <a14:useLocalDpi xmlns:a14="http://schemas.microsoft.com/office/drawing/2010/main" val="0"/>
                              </a:ext>
                            </a:extLst>
                          </a:blip>
                          <a:srcRect t="6540" b="13668"/>
                          <a:stretch/>
                        </pic:blipFill>
                        <pic:spPr bwMode="auto">
                          <a:xfrm>
                            <a:off x="0" y="0"/>
                            <a:ext cx="2275205" cy="774700"/>
                          </a:xfrm>
                          <a:prstGeom prst="rect">
                            <a:avLst/>
                          </a:prstGeom>
                          <a:noFill/>
                          <a:ln>
                            <a:noFill/>
                          </a:ln>
                          <a:extLst>
                            <a:ext uri="{53640926-AAD7-44D8-BBD7-CCE9431645EC}">
                              <a14:shadowObscured xmlns:a14="http://schemas.microsoft.com/office/drawing/2010/main"/>
                            </a:ext>
                          </a:extLst>
                        </pic:spPr>
                      </pic:pic>
                    </a:graphicData>
                  </a:graphic>
                </wp:inline>
              </w:drawing>
            </w:r>
          </w:p>
          <w:p w14:paraId="6E0974CD" w14:textId="5FF027F0" w:rsidR="005A304E" w:rsidRDefault="005A304E" w:rsidP="1556BCE2">
            <w:pPr>
              <w:pStyle w:val="ListParagraph"/>
              <w:numPr>
                <w:ilvl w:val="0"/>
                <w:numId w:val="13"/>
              </w:numPr>
              <w:ind w:left="184" w:hanging="184"/>
              <w:rPr>
                <w:rFonts w:eastAsia="Calibri"/>
                <w:sz w:val="18"/>
                <w:szCs w:val="18"/>
              </w:rPr>
            </w:pPr>
            <w:r w:rsidRPr="005A19AE">
              <w:rPr>
                <w:rFonts w:eastAsia="Calibri"/>
                <w:b/>
                <w:bCs/>
                <w:sz w:val="18"/>
                <w:szCs w:val="18"/>
              </w:rPr>
              <w:t>Supernatural-</w:t>
            </w:r>
            <w:r w:rsidRPr="005A19AE">
              <w:rPr>
                <w:rFonts w:eastAsia="Calibri"/>
                <w:sz w:val="18"/>
                <w:szCs w:val="18"/>
              </w:rPr>
              <w:t xml:space="preserve"> </w:t>
            </w:r>
            <w:r w:rsidR="008D6C44" w:rsidRPr="005A19AE">
              <w:rPr>
                <w:rFonts w:eastAsia="Calibri"/>
                <w:sz w:val="18"/>
                <w:szCs w:val="18"/>
              </w:rPr>
              <w:t>The woman in black is a ghostly presence that haunts Eel Marsh and haunts the protagonist, Arthur Kipps.</w:t>
            </w:r>
          </w:p>
          <w:p w14:paraId="769905BE" w14:textId="3C136CBF" w:rsidR="007B4AA1" w:rsidRPr="007B4AA1" w:rsidRDefault="007B4AA1" w:rsidP="007B4AA1">
            <w:pPr>
              <w:rPr>
                <w:rFonts w:eastAsia="Calibri"/>
                <w:sz w:val="18"/>
                <w:szCs w:val="18"/>
              </w:rPr>
            </w:pPr>
            <w:r>
              <w:rPr>
                <w:noProof/>
              </w:rPr>
              <w:drawing>
                <wp:inline distT="0" distB="0" distL="0" distR="0" wp14:anchorId="3A300200" wp14:editId="4FFD0BC0">
                  <wp:extent cx="2275205" cy="946150"/>
                  <wp:effectExtent l="0" t="0" r="0" b="6350"/>
                  <wp:docPr id="1153313848" name="Picture 3" descr="The Woman in Black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oman in Black (201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9696" b="7987"/>
                          <a:stretch/>
                        </pic:blipFill>
                        <pic:spPr bwMode="auto">
                          <a:xfrm>
                            <a:off x="0" y="0"/>
                            <a:ext cx="2275205" cy="946150"/>
                          </a:xfrm>
                          <a:prstGeom prst="rect">
                            <a:avLst/>
                          </a:prstGeom>
                          <a:noFill/>
                          <a:ln>
                            <a:noFill/>
                          </a:ln>
                          <a:extLst>
                            <a:ext uri="{53640926-AAD7-44D8-BBD7-CCE9431645EC}">
                              <a14:shadowObscured xmlns:a14="http://schemas.microsoft.com/office/drawing/2010/main"/>
                            </a:ext>
                          </a:extLst>
                        </pic:spPr>
                      </pic:pic>
                    </a:graphicData>
                  </a:graphic>
                </wp:inline>
              </w:drawing>
            </w:r>
          </w:p>
          <w:p w14:paraId="39056215" w14:textId="5A911C16" w:rsidR="00DB309A" w:rsidRPr="005A19AE" w:rsidRDefault="00AE15CF" w:rsidP="1556BCE2">
            <w:pPr>
              <w:pStyle w:val="ListParagraph"/>
              <w:numPr>
                <w:ilvl w:val="0"/>
                <w:numId w:val="13"/>
              </w:numPr>
              <w:ind w:left="184" w:hanging="184"/>
              <w:rPr>
                <w:rFonts w:eastAsia="Calibri"/>
                <w:sz w:val="18"/>
                <w:szCs w:val="18"/>
              </w:rPr>
            </w:pPr>
            <w:r w:rsidRPr="005A19AE">
              <w:rPr>
                <w:rFonts w:eastAsia="Calibri"/>
                <w:b/>
                <w:bCs/>
                <w:sz w:val="18"/>
                <w:szCs w:val="18"/>
              </w:rPr>
              <w:t>Horror</w:t>
            </w:r>
            <w:r w:rsidRPr="002321E5">
              <w:rPr>
                <w:rFonts w:eastAsia="Calibri"/>
                <w:b/>
                <w:bCs/>
                <w:sz w:val="18"/>
                <w:szCs w:val="18"/>
              </w:rPr>
              <w:t xml:space="preserve">- </w:t>
            </w:r>
            <w:r w:rsidRPr="005A19AE">
              <w:rPr>
                <w:rFonts w:eastAsia="Calibri"/>
                <w:sz w:val="18"/>
                <w:szCs w:val="18"/>
              </w:rPr>
              <w:t xml:space="preserve">Throughout the novel there are lots of moments where the reader feels a sense of horror and </w:t>
            </w:r>
            <w:r>
              <w:rPr>
                <w:rFonts w:eastAsia="Calibri"/>
                <w:sz w:val="18"/>
                <w:szCs w:val="18"/>
              </w:rPr>
              <w:t>fear</w:t>
            </w:r>
            <w:r w:rsidRPr="005A19AE">
              <w:rPr>
                <w:rFonts w:eastAsia="Calibri"/>
                <w:sz w:val="18"/>
                <w:szCs w:val="18"/>
              </w:rPr>
              <w:t>.</w:t>
            </w:r>
          </w:p>
          <w:p w14:paraId="7BD2DA6C" w14:textId="2E735CD7" w:rsidR="005A304E" w:rsidRPr="005A19AE" w:rsidRDefault="005A304E" w:rsidP="1556BCE2">
            <w:pPr>
              <w:pStyle w:val="ListParagraph"/>
              <w:numPr>
                <w:ilvl w:val="0"/>
                <w:numId w:val="13"/>
              </w:numPr>
              <w:ind w:left="184" w:hanging="184"/>
              <w:rPr>
                <w:rFonts w:eastAsia="Calibri"/>
                <w:sz w:val="18"/>
                <w:szCs w:val="18"/>
              </w:rPr>
            </w:pPr>
            <w:r w:rsidRPr="005A19AE">
              <w:rPr>
                <w:rFonts w:eastAsia="Calibri"/>
                <w:b/>
                <w:bCs/>
                <w:sz w:val="18"/>
                <w:szCs w:val="18"/>
              </w:rPr>
              <w:t>Mystery-</w:t>
            </w:r>
            <w:r w:rsidRPr="005A19AE">
              <w:rPr>
                <w:rFonts w:eastAsia="Calibri"/>
                <w:sz w:val="18"/>
                <w:szCs w:val="18"/>
              </w:rPr>
              <w:t xml:space="preserve"> </w:t>
            </w:r>
            <w:r w:rsidR="008D6C44" w:rsidRPr="005A19AE">
              <w:rPr>
                <w:rFonts w:eastAsia="Calibri"/>
                <w:sz w:val="18"/>
                <w:szCs w:val="18"/>
              </w:rPr>
              <w:t xml:space="preserve">Arthur unwraps the mystery as to why the woman in black haunts Eel Marsh House through reading her letters. Everyone in the town is secretive about her. </w:t>
            </w:r>
          </w:p>
          <w:p w14:paraId="63126E79" w14:textId="5592D384" w:rsidR="005A304E" w:rsidRPr="005A19AE" w:rsidRDefault="005A304E" w:rsidP="1556BCE2">
            <w:pPr>
              <w:pStyle w:val="ListParagraph"/>
              <w:numPr>
                <w:ilvl w:val="0"/>
                <w:numId w:val="13"/>
              </w:numPr>
              <w:ind w:left="184" w:hanging="184"/>
              <w:rPr>
                <w:rFonts w:eastAsia="Calibri"/>
                <w:sz w:val="18"/>
                <w:szCs w:val="18"/>
              </w:rPr>
            </w:pPr>
            <w:r w:rsidRPr="005A19AE">
              <w:rPr>
                <w:rFonts w:eastAsia="Calibri"/>
                <w:b/>
                <w:bCs/>
                <w:sz w:val="18"/>
                <w:szCs w:val="18"/>
              </w:rPr>
              <w:t>Melodrama-</w:t>
            </w:r>
            <w:r w:rsidRPr="005A19AE">
              <w:rPr>
                <w:rFonts w:eastAsia="Calibri"/>
                <w:sz w:val="18"/>
                <w:szCs w:val="18"/>
              </w:rPr>
              <w:t xml:space="preserve"> </w:t>
            </w:r>
            <w:r w:rsidR="008D6C44" w:rsidRPr="005A19AE">
              <w:rPr>
                <w:rFonts w:eastAsia="Calibri"/>
                <w:sz w:val="18"/>
                <w:szCs w:val="18"/>
              </w:rPr>
              <w:t>Arthur Kipps</w:t>
            </w:r>
            <w:r w:rsidR="5B31AE96" w:rsidRPr="005A19AE">
              <w:rPr>
                <w:rFonts w:eastAsia="Calibri"/>
                <w:sz w:val="18"/>
                <w:szCs w:val="18"/>
              </w:rPr>
              <w:t>’</w:t>
            </w:r>
            <w:r w:rsidR="008D6C44" w:rsidRPr="005A19AE">
              <w:rPr>
                <w:rFonts w:eastAsia="Calibri"/>
                <w:sz w:val="18"/>
                <w:szCs w:val="18"/>
              </w:rPr>
              <w:t xml:space="preserve"> negative emotional state is heighted when visiting Eel Marsh House, especially at night. He becomes ill from experiencing too much terror.</w:t>
            </w:r>
            <w:r w:rsidR="00672AFC">
              <w:rPr>
                <w:rFonts w:eastAsia="Calibri"/>
                <w:sz w:val="18"/>
                <w:szCs w:val="18"/>
              </w:rPr>
              <w:t xml:space="preserve"> (</w:t>
            </w:r>
            <w:r w:rsidR="00672AFC" w:rsidRPr="005A19AE">
              <w:rPr>
                <w:rFonts w:eastAsia="Calibri"/>
                <w:sz w:val="18"/>
                <w:szCs w:val="18"/>
              </w:rPr>
              <w:t xml:space="preserve">Arthur Kipps subverts </w:t>
            </w:r>
            <w:r w:rsidR="00672AFC">
              <w:rPr>
                <w:rFonts w:eastAsia="Calibri"/>
                <w:sz w:val="18"/>
                <w:szCs w:val="18"/>
              </w:rPr>
              <w:t>these conventions</w:t>
            </w:r>
            <w:r w:rsidR="00672AFC" w:rsidRPr="005A19AE">
              <w:rPr>
                <w:rFonts w:eastAsia="Calibri"/>
                <w:sz w:val="18"/>
                <w:szCs w:val="18"/>
              </w:rPr>
              <w:t xml:space="preserve"> as he is the distressed victim of a haunting</w:t>
            </w:r>
            <w:r w:rsidR="00DB309A">
              <w:rPr>
                <w:rFonts w:eastAsia="Calibri"/>
                <w:sz w:val="18"/>
                <w:szCs w:val="18"/>
              </w:rPr>
              <w:t xml:space="preserve"> – typically, it would be the female characters acting in this way)</w:t>
            </w:r>
          </w:p>
          <w:p w14:paraId="0EF3F4E5" w14:textId="545701A5" w:rsidR="00890B0B" w:rsidRPr="00DB309A" w:rsidRDefault="005A304E" w:rsidP="00DB309A">
            <w:pPr>
              <w:pStyle w:val="ListParagraph"/>
              <w:numPr>
                <w:ilvl w:val="0"/>
                <w:numId w:val="13"/>
              </w:numPr>
              <w:ind w:left="184" w:hanging="184"/>
              <w:rPr>
                <w:rFonts w:eastAsia="Calibri"/>
                <w:sz w:val="18"/>
                <w:szCs w:val="18"/>
              </w:rPr>
            </w:pPr>
            <w:r w:rsidRPr="005A19AE">
              <w:rPr>
                <w:rFonts w:eastAsia="Calibri"/>
                <w:b/>
                <w:bCs/>
                <w:sz w:val="18"/>
                <w:szCs w:val="18"/>
              </w:rPr>
              <w:t>Women-</w:t>
            </w:r>
            <w:r w:rsidRPr="005A19AE">
              <w:rPr>
                <w:rFonts w:eastAsia="Calibri"/>
                <w:sz w:val="18"/>
                <w:szCs w:val="18"/>
              </w:rPr>
              <w:t xml:space="preserve"> </w:t>
            </w:r>
            <w:r w:rsidR="008D6C44" w:rsidRPr="005A19AE">
              <w:rPr>
                <w:rFonts w:eastAsia="Calibri"/>
                <w:sz w:val="18"/>
                <w:szCs w:val="18"/>
              </w:rPr>
              <w:t xml:space="preserve">It is revealed that the woman in black was a victim of the </w:t>
            </w:r>
            <w:r w:rsidR="000E6883">
              <w:rPr>
                <w:rFonts w:eastAsia="Calibri"/>
                <w:sz w:val="18"/>
                <w:szCs w:val="18"/>
              </w:rPr>
              <w:t xml:space="preserve">prejudiced beliefs </w:t>
            </w:r>
            <w:r w:rsidR="008D6C44" w:rsidRPr="005A19AE">
              <w:rPr>
                <w:rFonts w:eastAsia="Calibri"/>
                <w:sz w:val="18"/>
                <w:szCs w:val="18"/>
              </w:rPr>
              <w:t>of society</w:t>
            </w:r>
            <w:r w:rsidR="000E6883">
              <w:rPr>
                <w:rFonts w:eastAsia="Calibri"/>
                <w:sz w:val="18"/>
                <w:szCs w:val="18"/>
              </w:rPr>
              <w:t xml:space="preserve"> towards unmarried mothers</w:t>
            </w:r>
            <w:r w:rsidR="008D6C44" w:rsidRPr="005A19AE">
              <w:rPr>
                <w:rFonts w:eastAsia="Calibri"/>
                <w:sz w:val="18"/>
                <w:szCs w:val="18"/>
              </w:rPr>
              <w:t>. This made her oppressed and vulnerable in life.</w:t>
            </w:r>
          </w:p>
        </w:tc>
      </w:tr>
    </w:tbl>
    <w:p w14:paraId="5D4172F6" w14:textId="278850C1" w:rsidR="00890B0B" w:rsidRDefault="00890B0B" w:rsidP="4B4320B3">
      <w:pPr>
        <w:spacing w:after="0" w:line="240" w:lineRule="auto"/>
        <w:rPr>
          <w:b/>
          <w:bCs/>
          <w:color w:val="FF0000"/>
          <w:sz w:val="18"/>
          <w:szCs w:val="18"/>
          <w:u w:val="single"/>
        </w:rPr>
      </w:pPr>
    </w:p>
    <w:tbl>
      <w:tblPr>
        <w:tblStyle w:val="TableGrid"/>
        <w:tblW w:w="3799" w:type="dxa"/>
        <w:tblInd w:w="-5" w:type="dxa"/>
        <w:tblLayout w:type="fixed"/>
        <w:tblLook w:val="04A0" w:firstRow="1" w:lastRow="0" w:firstColumn="1" w:lastColumn="0" w:noHBand="0" w:noVBand="1"/>
      </w:tblPr>
      <w:tblGrid>
        <w:gridCol w:w="3799"/>
      </w:tblGrid>
      <w:tr w:rsidR="00023DA7" w14:paraId="42AA91FC" w14:textId="77777777" w:rsidTr="008716BE">
        <w:trPr>
          <w:cantSplit/>
          <w:trHeight w:val="152"/>
        </w:trPr>
        <w:tc>
          <w:tcPr>
            <w:tcW w:w="3799" w:type="dxa"/>
            <w:shd w:val="clear" w:color="auto" w:fill="FFFF00"/>
          </w:tcPr>
          <w:p w14:paraId="404C1ABD" w14:textId="77777777" w:rsidR="00023DA7" w:rsidRDefault="00023DA7" w:rsidP="008716BE">
            <w:pPr>
              <w:rPr>
                <w:rFonts w:ascii="Calibri" w:hAnsi="Calibri" w:cs="Calibri"/>
                <w:b/>
                <w:bCs/>
                <w:sz w:val="19"/>
                <w:szCs w:val="19"/>
              </w:rPr>
            </w:pPr>
            <w:r w:rsidRPr="4B4320B3">
              <w:rPr>
                <w:rFonts w:ascii="Calibri" w:hAnsi="Calibri" w:cs="Calibri"/>
                <w:b/>
                <w:bCs/>
                <w:sz w:val="19"/>
                <w:szCs w:val="19"/>
              </w:rPr>
              <w:t xml:space="preserve">Symbols and Motifs </w:t>
            </w:r>
          </w:p>
        </w:tc>
      </w:tr>
      <w:tr w:rsidR="00023DA7" w:rsidRPr="0009796E" w14:paraId="7078B6A6" w14:textId="77777777" w:rsidTr="008716BE">
        <w:trPr>
          <w:cantSplit/>
          <w:trHeight w:val="1134"/>
        </w:trPr>
        <w:tc>
          <w:tcPr>
            <w:tcW w:w="3799" w:type="dxa"/>
          </w:tcPr>
          <w:p w14:paraId="6DE78B2B" w14:textId="1CA5D696" w:rsidR="00AF4ACE" w:rsidRPr="00862CF9" w:rsidRDefault="00023DA7" w:rsidP="008716BE">
            <w:pPr>
              <w:pStyle w:val="ListParagraph"/>
              <w:numPr>
                <w:ilvl w:val="0"/>
                <w:numId w:val="13"/>
              </w:numPr>
              <w:ind w:left="184" w:hanging="184"/>
              <w:rPr>
                <w:rFonts w:eastAsia="Calibri"/>
                <w:sz w:val="18"/>
                <w:szCs w:val="18"/>
              </w:rPr>
            </w:pPr>
            <w:r w:rsidRPr="00862CF9">
              <w:rPr>
                <w:rFonts w:eastAsia="Calibri"/>
                <w:b/>
                <w:bCs/>
                <w:sz w:val="18"/>
                <w:szCs w:val="18"/>
              </w:rPr>
              <w:t>Light</w:t>
            </w:r>
            <w:r w:rsidR="00AF4ACE" w:rsidRPr="00862CF9">
              <w:rPr>
                <w:rFonts w:eastAsia="Calibri"/>
                <w:b/>
                <w:bCs/>
                <w:sz w:val="18"/>
                <w:szCs w:val="18"/>
              </w:rPr>
              <w:t xml:space="preserve">- </w:t>
            </w:r>
            <w:r w:rsidR="004803BA" w:rsidRPr="00862CF9">
              <w:rPr>
                <w:rFonts w:eastAsia="Calibri"/>
                <w:sz w:val="18"/>
                <w:szCs w:val="18"/>
              </w:rPr>
              <w:t xml:space="preserve">symbolises safety, </w:t>
            </w:r>
            <w:r w:rsidR="00554121" w:rsidRPr="00862CF9">
              <w:rPr>
                <w:rFonts w:eastAsia="Calibri"/>
                <w:sz w:val="18"/>
                <w:szCs w:val="18"/>
              </w:rPr>
              <w:t xml:space="preserve">hope, knowledge and </w:t>
            </w:r>
            <w:r w:rsidR="004803BA" w:rsidRPr="00862CF9">
              <w:rPr>
                <w:rFonts w:eastAsia="Calibri"/>
                <w:sz w:val="18"/>
                <w:szCs w:val="18"/>
              </w:rPr>
              <w:t>understanding</w:t>
            </w:r>
            <w:r w:rsidR="00BF7ABE" w:rsidRPr="00862CF9">
              <w:rPr>
                <w:rFonts w:eastAsia="Calibri"/>
                <w:sz w:val="18"/>
                <w:szCs w:val="18"/>
              </w:rPr>
              <w:t>.</w:t>
            </w:r>
          </w:p>
          <w:p w14:paraId="4A4FB2EF" w14:textId="05F53049" w:rsidR="00BF7ABE" w:rsidRPr="00862CF9" w:rsidRDefault="00BF7ABE" w:rsidP="00BF7ABE">
            <w:pPr>
              <w:pStyle w:val="ListParagraph"/>
              <w:ind w:left="184"/>
              <w:rPr>
                <w:rFonts w:eastAsia="Calibri"/>
                <w:sz w:val="18"/>
                <w:szCs w:val="18"/>
              </w:rPr>
            </w:pPr>
            <w:r w:rsidRPr="00862CF9">
              <w:rPr>
                <w:rFonts w:eastAsia="Calibri"/>
                <w:sz w:val="18"/>
                <w:szCs w:val="18"/>
              </w:rPr>
              <w:t>Arthur and the reader feel these when there is light</w:t>
            </w:r>
            <w:r w:rsidR="00C243D4" w:rsidRPr="00862CF9">
              <w:rPr>
                <w:rFonts w:eastAsia="Calibri"/>
                <w:sz w:val="18"/>
                <w:szCs w:val="18"/>
              </w:rPr>
              <w:t xml:space="preserve"> present</w:t>
            </w:r>
            <w:r w:rsidRPr="00862CF9">
              <w:rPr>
                <w:rFonts w:eastAsia="Calibri"/>
                <w:sz w:val="18"/>
                <w:szCs w:val="18"/>
              </w:rPr>
              <w:t>.</w:t>
            </w:r>
          </w:p>
          <w:p w14:paraId="24AF5BC5" w14:textId="03113EED" w:rsidR="00023DA7" w:rsidRPr="00862CF9" w:rsidRDefault="00023DA7" w:rsidP="008716BE">
            <w:pPr>
              <w:pStyle w:val="ListParagraph"/>
              <w:numPr>
                <w:ilvl w:val="0"/>
                <w:numId w:val="13"/>
              </w:numPr>
              <w:ind w:left="184" w:hanging="184"/>
              <w:rPr>
                <w:rFonts w:eastAsia="Calibri"/>
                <w:sz w:val="18"/>
                <w:szCs w:val="18"/>
              </w:rPr>
            </w:pPr>
            <w:r w:rsidRPr="00862CF9">
              <w:rPr>
                <w:rFonts w:eastAsia="Calibri"/>
                <w:b/>
                <w:bCs/>
                <w:sz w:val="18"/>
                <w:szCs w:val="18"/>
              </w:rPr>
              <w:t>Dark</w:t>
            </w:r>
            <w:r w:rsidR="00554121" w:rsidRPr="00862CF9">
              <w:rPr>
                <w:rFonts w:eastAsia="Calibri"/>
                <w:b/>
                <w:bCs/>
                <w:sz w:val="18"/>
                <w:szCs w:val="18"/>
              </w:rPr>
              <w:t>ness</w:t>
            </w:r>
            <w:r w:rsidR="00803AAE" w:rsidRPr="00862CF9">
              <w:rPr>
                <w:rFonts w:eastAsia="Calibri"/>
                <w:b/>
                <w:bCs/>
                <w:sz w:val="18"/>
                <w:szCs w:val="18"/>
              </w:rPr>
              <w:t>-</w:t>
            </w:r>
            <w:r w:rsidR="00BF7ABE" w:rsidRPr="00862CF9">
              <w:rPr>
                <w:rFonts w:eastAsia="Calibri"/>
                <w:sz w:val="18"/>
                <w:szCs w:val="18"/>
              </w:rPr>
              <w:t xml:space="preserve"> symbolises danger, fear</w:t>
            </w:r>
            <w:r w:rsidR="00C243D4" w:rsidRPr="00862CF9">
              <w:rPr>
                <w:rFonts w:eastAsia="Calibri"/>
                <w:sz w:val="18"/>
                <w:szCs w:val="18"/>
              </w:rPr>
              <w:t>, isolation.</w:t>
            </w:r>
          </w:p>
          <w:p w14:paraId="0654C248" w14:textId="4391039E" w:rsidR="00C243D4" w:rsidRPr="00862CF9" w:rsidRDefault="00C243D4" w:rsidP="00C243D4">
            <w:pPr>
              <w:pStyle w:val="ListParagraph"/>
              <w:ind w:left="184"/>
              <w:rPr>
                <w:rFonts w:eastAsia="Calibri"/>
                <w:sz w:val="18"/>
                <w:szCs w:val="18"/>
              </w:rPr>
            </w:pPr>
            <w:r w:rsidRPr="00862CF9">
              <w:rPr>
                <w:rFonts w:eastAsia="Calibri"/>
                <w:sz w:val="18"/>
                <w:szCs w:val="18"/>
              </w:rPr>
              <w:t xml:space="preserve">Arthur and the reader feel these when there is </w:t>
            </w:r>
            <w:r w:rsidRPr="00862CF9">
              <w:rPr>
                <w:rFonts w:eastAsia="Calibri"/>
                <w:sz w:val="18"/>
                <w:szCs w:val="18"/>
              </w:rPr>
              <w:t>darkness</w:t>
            </w:r>
            <w:r w:rsidRPr="00862CF9">
              <w:rPr>
                <w:rFonts w:eastAsia="Calibri"/>
                <w:sz w:val="18"/>
                <w:szCs w:val="18"/>
              </w:rPr>
              <w:t xml:space="preserve"> present.</w:t>
            </w:r>
          </w:p>
          <w:p w14:paraId="76606BA1" w14:textId="265DDC1D" w:rsidR="00023DA7" w:rsidRDefault="00023DA7" w:rsidP="008716BE">
            <w:pPr>
              <w:pStyle w:val="ListParagraph"/>
              <w:numPr>
                <w:ilvl w:val="0"/>
                <w:numId w:val="13"/>
              </w:numPr>
              <w:ind w:left="184" w:hanging="184"/>
              <w:rPr>
                <w:rFonts w:eastAsia="Calibri"/>
                <w:sz w:val="18"/>
                <w:szCs w:val="18"/>
              </w:rPr>
            </w:pPr>
            <w:r w:rsidRPr="00862CF9">
              <w:rPr>
                <w:rFonts w:eastAsia="Calibri"/>
                <w:b/>
                <w:bCs/>
                <w:sz w:val="18"/>
                <w:szCs w:val="18"/>
              </w:rPr>
              <w:t>Fog-</w:t>
            </w:r>
            <w:r w:rsidRPr="00862CF9">
              <w:rPr>
                <w:rFonts w:eastAsia="Calibri"/>
                <w:sz w:val="18"/>
                <w:szCs w:val="18"/>
              </w:rPr>
              <w:t xml:space="preserve"> </w:t>
            </w:r>
            <w:r w:rsidR="00C243D4" w:rsidRPr="00862CF9">
              <w:rPr>
                <w:rFonts w:eastAsia="Calibri"/>
                <w:sz w:val="18"/>
                <w:szCs w:val="18"/>
              </w:rPr>
              <w:t>s</w:t>
            </w:r>
            <w:r w:rsidRPr="00862CF9">
              <w:rPr>
                <w:rFonts w:eastAsia="Calibri"/>
                <w:sz w:val="18"/>
                <w:szCs w:val="18"/>
              </w:rPr>
              <w:t xml:space="preserve">ymbolises ignorance, lack of knowledge or awareness. </w:t>
            </w:r>
          </w:p>
          <w:p w14:paraId="5308318B" w14:textId="7DE9FAF4" w:rsidR="008E47D9" w:rsidRPr="008E47D9" w:rsidRDefault="008E47D9" w:rsidP="00645D38">
            <w:pPr>
              <w:jc w:val="center"/>
              <w:rPr>
                <w:rFonts w:eastAsia="Calibri"/>
                <w:sz w:val="18"/>
                <w:szCs w:val="18"/>
              </w:rPr>
            </w:pPr>
            <w:r>
              <w:rPr>
                <w:noProof/>
              </w:rPr>
              <w:drawing>
                <wp:inline distT="0" distB="0" distL="0" distR="0" wp14:anchorId="4E9DF952" wp14:editId="5122513B">
                  <wp:extent cx="2178050" cy="1185375"/>
                  <wp:effectExtent l="0" t="0" r="0" b="0"/>
                  <wp:docPr id="967182214" name="Picture 5" descr="Medieval Gothic Horror – AI Art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eval Gothic Horror – AI Art Gallery"/>
                          <pic:cNvPicPr>
                            <a:picLocks noChangeAspect="1" noChangeArrowheads="1"/>
                          </pic:cNvPicPr>
                        </pic:nvPicPr>
                        <pic:blipFill rotWithShape="1">
                          <a:blip r:embed="rId13">
                            <a:extLst>
                              <a:ext uri="{28A0092B-C50C-407E-A947-70E740481C1C}">
                                <a14:useLocalDpi xmlns:a14="http://schemas.microsoft.com/office/drawing/2010/main" val="0"/>
                              </a:ext>
                            </a:extLst>
                          </a:blip>
                          <a:srcRect t="8371" b="10004"/>
                          <a:stretch/>
                        </pic:blipFill>
                        <pic:spPr bwMode="auto">
                          <a:xfrm>
                            <a:off x="0" y="0"/>
                            <a:ext cx="2183688" cy="1188443"/>
                          </a:xfrm>
                          <a:prstGeom prst="rect">
                            <a:avLst/>
                          </a:prstGeom>
                          <a:noFill/>
                          <a:ln>
                            <a:noFill/>
                          </a:ln>
                          <a:extLst>
                            <a:ext uri="{53640926-AAD7-44D8-BBD7-CCE9431645EC}">
                              <a14:shadowObscured xmlns:a14="http://schemas.microsoft.com/office/drawing/2010/main"/>
                            </a:ext>
                          </a:extLst>
                        </pic:spPr>
                      </pic:pic>
                    </a:graphicData>
                  </a:graphic>
                </wp:inline>
              </w:drawing>
            </w:r>
          </w:p>
          <w:p w14:paraId="4D9A8EA5" w14:textId="77777777" w:rsidR="00292B39" w:rsidRPr="00862CF9" w:rsidRDefault="00803AAE" w:rsidP="008716BE">
            <w:pPr>
              <w:pStyle w:val="ListParagraph"/>
              <w:numPr>
                <w:ilvl w:val="0"/>
                <w:numId w:val="13"/>
              </w:numPr>
              <w:ind w:left="184" w:hanging="184"/>
              <w:rPr>
                <w:rFonts w:eastAsia="Calibri"/>
                <w:sz w:val="18"/>
                <w:szCs w:val="18"/>
              </w:rPr>
            </w:pPr>
            <w:r w:rsidRPr="00862CF9">
              <w:rPr>
                <w:rFonts w:eastAsia="Calibri"/>
                <w:b/>
                <w:bCs/>
                <w:sz w:val="18"/>
                <w:szCs w:val="18"/>
              </w:rPr>
              <w:t xml:space="preserve">Birds- </w:t>
            </w:r>
            <w:r w:rsidRPr="00862CF9">
              <w:rPr>
                <w:rFonts w:eastAsia="Calibri"/>
                <w:sz w:val="18"/>
                <w:szCs w:val="18"/>
              </w:rPr>
              <w:t xml:space="preserve">act as omens. </w:t>
            </w:r>
          </w:p>
          <w:p w14:paraId="598D273F" w14:textId="44429D60" w:rsidR="00803AAE" w:rsidRPr="00862CF9" w:rsidRDefault="00803AAE" w:rsidP="00292B39">
            <w:pPr>
              <w:pStyle w:val="ListParagraph"/>
              <w:ind w:left="184"/>
              <w:rPr>
                <w:rFonts w:eastAsia="Calibri"/>
                <w:sz w:val="18"/>
                <w:szCs w:val="18"/>
              </w:rPr>
            </w:pPr>
            <w:r w:rsidRPr="00862CF9">
              <w:rPr>
                <w:rFonts w:eastAsia="Calibri"/>
                <w:sz w:val="18"/>
                <w:szCs w:val="18"/>
              </w:rPr>
              <w:t xml:space="preserve">They warn </w:t>
            </w:r>
            <w:r w:rsidR="00292B39" w:rsidRPr="00862CF9">
              <w:rPr>
                <w:rFonts w:eastAsia="Calibri"/>
                <w:sz w:val="18"/>
                <w:szCs w:val="18"/>
              </w:rPr>
              <w:t>Arthur and the reader of upcoming danger.</w:t>
            </w:r>
          </w:p>
          <w:p w14:paraId="106C9E26" w14:textId="28721592" w:rsidR="002F0FF7" w:rsidRPr="00862CF9" w:rsidRDefault="002F0FF7" w:rsidP="00645D38">
            <w:pPr>
              <w:jc w:val="center"/>
              <w:rPr>
                <w:rFonts w:eastAsia="Calibri"/>
                <w:sz w:val="18"/>
                <w:szCs w:val="18"/>
              </w:rPr>
            </w:pPr>
            <w:r w:rsidRPr="00862CF9">
              <w:rPr>
                <w:noProof/>
                <w:sz w:val="18"/>
                <w:szCs w:val="18"/>
              </w:rPr>
              <w:drawing>
                <wp:inline distT="0" distB="0" distL="0" distR="0" wp14:anchorId="62C7386A" wp14:editId="05BEB37A">
                  <wp:extent cx="2165350" cy="1057595"/>
                  <wp:effectExtent l="0" t="0" r="6350" b="9525"/>
                  <wp:docPr id="633825753" name="Picture 4" descr="How Do I Recognize the Personification of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Do I Recognize the Personification of Death?"/>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178" b="15606"/>
                          <a:stretch/>
                        </pic:blipFill>
                        <pic:spPr bwMode="auto">
                          <a:xfrm>
                            <a:off x="0" y="0"/>
                            <a:ext cx="2171887" cy="1060788"/>
                          </a:xfrm>
                          <a:prstGeom prst="rect">
                            <a:avLst/>
                          </a:prstGeom>
                          <a:noFill/>
                          <a:ln>
                            <a:noFill/>
                          </a:ln>
                          <a:extLst>
                            <a:ext uri="{53640926-AAD7-44D8-BBD7-CCE9431645EC}">
                              <a14:shadowObscured xmlns:a14="http://schemas.microsoft.com/office/drawing/2010/main"/>
                            </a:ext>
                          </a:extLst>
                        </pic:spPr>
                      </pic:pic>
                    </a:graphicData>
                  </a:graphic>
                </wp:inline>
              </w:drawing>
            </w:r>
          </w:p>
          <w:p w14:paraId="6C0E023C" w14:textId="240C78AB" w:rsidR="00023DA7" w:rsidRPr="0009796E" w:rsidRDefault="00023DA7" w:rsidP="008716BE">
            <w:pPr>
              <w:pStyle w:val="ListParagraph"/>
              <w:numPr>
                <w:ilvl w:val="0"/>
                <w:numId w:val="13"/>
              </w:numPr>
              <w:ind w:left="184" w:hanging="184"/>
              <w:rPr>
                <w:rFonts w:eastAsia="Calibri"/>
                <w:sz w:val="19"/>
                <w:szCs w:val="19"/>
              </w:rPr>
            </w:pPr>
            <w:r w:rsidRPr="00862CF9">
              <w:rPr>
                <w:rFonts w:eastAsia="Calibri"/>
                <w:b/>
                <w:bCs/>
                <w:sz w:val="18"/>
                <w:szCs w:val="18"/>
              </w:rPr>
              <w:t xml:space="preserve">Fire- </w:t>
            </w:r>
            <w:r w:rsidRPr="00862CF9">
              <w:rPr>
                <w:rFonts w:eastAsia="Calibri"/>
                <w:sz w:val="18"/>
                <w:szCs w:val="18"/>
              </w:rPr>
              <w:t>symbols emotional warmth, compassion and safety.</w:t>
            </w:r>
            <w:r w:rsidRPr="4B4320B3">
              <w:rPr>
                <w:rFonts w:eastAsia="Calibri"/>
                <w:sz w:val="19"/>
                <w:szCs w:val="19"/>
              </w:rPr>
              <w:t xml:space="preserve"> </w:t>
            </w:r>
          </w:p>
        </w:tc>
      </w:tr>
    </w:tbl>
    <w:p w14:paraId="032EC162" w14:textId="77777777" w:rsidR="00023DA7" w:rsidRDefault="00023DA7" w:rsidP="4B4320B3">
      <w:pPr>
        <w:spacing w:after="0" w:line="240" w:lineRule="auto"/>
        <w:rPr>
          <w:b/>
          <w:bCs/>
          <w:color w:val="FF0000"/>
          <w:sz w:val="18"/>
          <w:szCs w:val="18"/>
          <w:u w:val="single"/>
        </w:rPr>
      </w:pPr>
    </w:p>
    <w:p w14:paraId="6CF7C278" w14:textId="5717A06F" w:rsidR="00486B4A" w:rsidRPr="0060460F" w:rsidRDefault="003D3F2D" w:rsidP="00FB0696">
      <w:pPr>
        <w:spacing w:after="0" w:line="240" w:lineRule="auto"/>
        <w:ind w:left="57"/>
        <w:rPr>
          <w:b/>
          <w:bCs/>
          <w:color w:val="FF0000"/>
          <w:sz w:val="24"/>
          <w:szCs w:val="24"/>
          <w:u w:val="single"/>
        </w:rPr>
      </w:pPr>
      <w:r w:rsidRPr="1556BCE2">
        <w:rPr>
          <w:b/>
          <w:bCs/>
          <w:color w:val="FF0000"/>
          <w:sz w:val="24"/>
          <w:szCs w:val="24"/>
          <w:u w:val="single"/>
        </w:rPr>
        <w:t xml:space="preserve">Key </w:t>
      </w:r>
      <w:r w:rsidR="00486B4A" w:rsidRPr="1556BCE2">
        <w:rPr>
          <w:b/>
          <w:bCs/>
          <w:color w:val="FF0000"/>
          <w:sz w:val="24"/>
          <w:szCs w:val="24"/>
          <w:u w:val="single"/>
        </w:rPr>
        <w:t>Vocabulary</w:t>
      </w:r>
    </w:p>
    <w:tbl>
      <w:tblPr>
        <w:tblStyle w:val="TableGrid"/>
        <w:tblW w:w="5000" w:type="pct"/>
        <w:jc w:val="center"/>
        <w:tblLook w:val="04A0" w:firstRow="1" w:lastRow="0" w:firstColumn="1" w:lastColumn="0" w:noHBand="0" w:noVBand="1"/>
      </w:tblPr>
      <w:tblGrid>
        <w:gridCol w:w="1560"/>
        <w:gridCol w:w="2318"/>
      </w:tblGrid>
      <w:tr w:rsidR="009A225A" w:rsidRPr="00862CF9" w14:paraId="05F31967" w14:textId="77777777" w:rsidTr="009A225A">
        <w:trPr>
          <w:jc w:val="center"/>
        </w:trPr>
        <w:tc>
          <w:tcPr>
            <w:tcW w:w="2011" w:type="pct"/>
            <w:shd w:val="clear" w:color="auto" w:fill="F4B083" w:themeFill="accent2" w:themeFillTint="99"/>
          </w:tcPr>
          <w:p w14:paraId="556C25E1" w14:textId="0903578C" w:rsidR="009A225A" w:rsidRPr="00862CF9" w:rsidRDefault="009A225A" w:rsidP="00085715">
            <w:pPr>
              <w:jc w:val="center"/>
              <w:rPr>
                <w:b/>
                <w:bCs/>
                <w:sz w:val="18"/>
                <w:szCs w:val="18"/>
              </w:rPr>
            </w:pPr>
            <w:r w:rsidRPr="00862CF9">
              <w:rPr>
                <w:b/>
                <w:bCs/>
                <w:sz w:val="18"/>
                <w:szCs w:val="18"/>
              </w:rPr>
              <w:t>Word</w:t>
            </w:r>
          </w:p>
        </w:tc>
        <w:tc>
          <w:tcPr>
            <w:tcW w:w="2989" w:type="pct"/>
            <w:shd w:val="clear" w:color="auto" w:fill="FBE4D5" w:themeFill="accent2" w:themeFillTint="33"/>
          </w:tcPr>
          <w:p w14:paraId="457ADC69" w14:textId="5B1DA308" w:rsidR="009A225A" w:rsidRPr="00862CF9" w:rsidRDefault="009A225A" w:rsidP="00085715">
            <w:pPr>
              <w:jc w:val="center"/>
              <w:rPr>
                <w:b/>
                <w:bCs/>
                <w:sz w:val="18"/>
                <w:szCs w:val="18"/>
              </w:rPr>
            </w:pPr>
            <w:r w:rsidRPr="00862CF9">
              <w:rPr>
                <w:b/>
                <w:bCs/>
                <w:sz w:val="18"/>
                <w:szCs w:val="18"/>
              </w:rPr>
              <w:t>Meaning</w:t>
            </w:r>
          </w:p>
        </w:tc>
      </w:tr>
      <w:tr w:rsidR="009A225A" w:rsidRPr="00862CF9" w14:paraId="2144CD25" w14:textId="77777777" w:rsidTr="009A225A">
        <w:trPr>
          <w:trHeight w:val="349"/>
          <w:jc w:val="center"/>
        </w:trPr>
        <w:tc>
          <w:tcPr>
            <w:tcW w:w="2011" w:type="pct"/>
            <w:shd w:val="clear" w:color="auto" w:fill="F4B083" w:themeFill="accent2" w:themeFillTint="99"/>
          </w:tcPr>
          <w:p w14:paraId="0DF74052" w14:textId="77777777" w:rsidR="009A225A" w:rsidRPr="00862CF9" w:rsidRDefault="009A225A" w:rsidP="009178B9">
            <w:pPr>
              <w:rPr>
                <w:b/>
                <w:bCs/>
                <w:sz w:val="18"/>
                <w:szCs w:val="18"/>
              </w:rPr>
            </w:pPr>
            <w:r w:rsidRPr="00862CF9">
              <w:rPr>
                <w:b/>
                <w:bCs/>
                <w:sz w:val="18"/>
                <w:szCs w:val="18"/>
              </w:rPr>
              <w:t>bleak</w:t>
            </w:r>
          </w:p>
          <w:p w14:paraId="7A32F2AE" w14:textId="75914E33" w:rsidR="009A225A" w:rsidRPr="00862CF9" w:rsidRDefault="009A225A" w:rsidP="009178B9">
            <w:pPr>
              <w:rPr>
                <w:b/>
                <w:bCs/>
                <w:sz w:val="18"/>
                <w:szCs w:val="18"/>
              </w:rPr>
            </w:pPr>
          </w:p>
        </w:tc>
        <w:tc>
          <w:tcPr>
            <w:tcW w:w="2989" w:type="pct"/>
            <w:shd w:val="clear" w:color="auto" w:fill="FBE4D5" w:themeFill="accent2" w:themeFillTint="33"/>
          </w:tcPr>
          <w:p w14:paraId="485B3831" w14:textId="58E28091" w:rsidR="009A225A" w:rsidRPr="0056402A" w:rsidRDefault="009A225A" w:rsidP="009178B9">
            <w:pPr>
              <w:rPr>
                <w:sz w:val="18"/>
                <w:szCs w:val="18"/>
              </w:rPr>
            </w:pPr>
            <w:r w:rsidRPr="0056402A">
              <w:rPr>
                <w:sz w:val="18"/>
                <w:szCs w:val="18"/>
              </w:rPr>
              <w:t>Describes an area that is cold and miserable.</w:t>
            </w:r>
          </w:p>
        </w:tc>
      </w:tr>
      <w:tr w:rsidR="00107246" w:rsidRPr="00862CF9" w14:paraId="7084B456" w14:textId="77777777" w:rsidTr="009A225A">
        <w:trPr>
          <w:trHeight w:val="349"/>
          <w:jc w:val="center"/>
        </w:trPr>
        <w:tc>
          <w:tcPr>
            <w:tcW w:w="2011" w:type="pct"/>
            <w:shd w:val="clear" w:color="auto" w:fill="F4B083" w:themeFill="accent2" w:themeFillTint="99"/>
          </w:tcPr>
          <w:p w14:paraId="3581762C" w14:textId="0E4680EC" w:rsidR="00107246" w:rsidRPr="00862CF9" w:rsidRDefault="00107246" w:rsidP="009178B9">
            <w:pPr>
              <w:rPr>
                <w:b/>
                <w:bCs/>
                <w:sz w:val="18"/>
                <w:szCs w:val="18"/>
              </w:rPr>
            </w:pPr>
            <w:r w:rsidRPr="00862CF9">
              <w:rPr>
                <w:b/>
                <w:bCs/>
                <w:sz w:val="18"/>
                <w:szCs w:val="18"/>
              </w:rPr>
              <w:t>convention</w:t>
            </w:r>
          </w:p>
        </w:tc>
        <w:tc>
          <w:tcPr>
            <w:tcW w:w="2989" w:type="pct"/>
            <w:shd w:val="clear" w:color="auto" w:fill="FBE4D5" w:themeFill="accent2" w:themeFillTint="33"/>
          </w:tcPr>
          <w:p w14:paraId="429F336D" w14:textId="705FACF2" w:rsidR="00107246" w:rsidRPr="0056402A" w:rsidRDefault="00463C32" w:rsidP="009178B9">
            <w:pPr>
              <w:rPr>
                <w:sz w:val="18"/>
                <w:szCs w:val="18"/>
              </w:rPr>
            </w:pPr>
            <w:r w:rsidRPr="0056402A">
              <w:rPr>
                <w:sz w:val="18"/>
                <w:szCs w:val="18"/>
              </w:rPr>
              <w:t>A common feature of a type of text.</w:t>
            </w:r>
          </w:p>
        </w:tc>
      </w:tr>
      <w:tr w:rsidR="009A225A" w:rsidRPr="00862CF9" w14:paraId="10BFAF4B" w14:textId="77777777" w:rsidTr="009A225A">
        <w:trPr>
          <w:trHeight w:val="429"/>
          <w:jc w:val="center"/>
        </w:trPr>
        <w:tc>
          <w:tcPr>
            <w:tcW w:w="2011" w:type="pct"/>
            <w:shd w:val="clear" w:color="auto" w:fill="F4B083" w:themeFill="accent2" w:themeFillTint="99"/>
          </w:tcPr>
          <w:p w14:paraId="7C7FC7C7" w14:textId="118ABE49" w:rsidR="009A225A" w:rsidRPr="00645D38" w:rsidRDefault="009A225A" w:rsidP="009178B9">
            <w:pPr>
              <w:rPr>
                <w:b/>
                <w:bCs/>
                <w:i/>
                <w:iCs/>
                <w:sz w:val="18"/>
                <w:szCs w:val="18"/>
              </w:rPr>
            </w:pPr>
            <w:r w:rsidRPr="00645D38">
              <w:rPr>
                <w:b/>
                <w:bCs/>
                <w:i/>
                <w:iCs/>
                <w:sz w:val="18"/>
                <w:szCs w:val="18"/>
              </w:rPr>
              <w:t>foreshadowing</w:t>
            </w:r>
          </w:p>
        </w:tc>
        <w:tc>
          <w:tcPr>
            <w:tcW w:w="2989" w:type="pct"/>
            <w:shd w:val="clear" w:color="auto" w:fill="FBE4D5" w:themeFill="accent2" w:themeFillTint="33"/>
          </w:tcPr>
          <w:p w14:paraId="4D201A46" w14:textId="56A5474E" w:rsidR="009A225A" w:rsidRPr="0056402A" w:rsidRDefault="009A225A" w:rsidP="009178B9">
            <w:pPr>
              <w:rPr>
                <w:sz w:val="18"/>
                <w:szCs w:val="18"/>
              </w:rPr>
            </w:pPr>
            <w:r w:rsidRPr="0056402A">
              <w:rPr>
                <w:sz w:val="18"/>
                <w:szCs w:val="18"/>
              </w:rPr>
              <w:t>When a writer hints about something that happens later in the story.</w:t>
            </w:r>
          </w:p>
        </w:tc>
      </w:tr>
      <w:tr w:rsidR="009A225A" w:rsidRPr="00862CF9" w14:paraId="6BAF7B0F" w14:textId="77777777" w:rsidTr="009A225A">
        <w:trPr>
          <w:trHeight w:val="405"/>
          <w:jc w:val="center"/>
        </w:trPr>
        <w:tc>
          <w:tcPr>
            <w:tcW w:w="2011" w:type="pct"/>
            <w:shd w:val="clear" w:color="auto" w:fill="F4B083" w:themeFill="accent2" w:themeFillTint="99"/>
          </w:tcPr>
          <w:p w14:paraId="0074DA86" w14:textId="77777777" w:rsidR="009A225A" w:rsidRPr="00862CF9" w:rsidRDefault="009A225A" w:rsidP="009178B9">
            <w:pPr>
              <w:rPr>
                <w:b/>
                <w:bCs/>
                <w:sz w:val="18"/>
                <w:szCs w:val="18"/>
              </w:rPr>
            </w:pPr>
            <w:r w:rsidRPr="00862CF9">
              <w:rPr>
                <w:b/>
                <w:bCs/>
                <w:sz w:val="18"/>
                <w:szCs w:val="18"/>
              </w:rPr>
              <w:t>formative</w:t>
            </w:r>
          </w:p>
          <w:p w14:paraId="3D30A6D5" w14:textId="78310A8E" w:rsidR="009A225A" w:rsidRPr="00862CF9" w:rsidRDefault="009A225A" w:rsidP="009178B9">
            <w:pPr>
              <w:ind w:left="-112" w:right="-114"/>
              <w:rPr>
                <w:b/>
                <w:bCs/>
                <w:sz w:val="18"/>
                <w:szCs w:val="18"/>
              </w:rPr>
            </w:pPr>
          </w:p>
        </w:tc>
        <w:tc>
          <w:tcPr>
            <w:tcW w:w="2989" w:type="pct"/>
            <w:shd w:val="clear" w:color="auto" w:fill="FBE4D5" w:themeFill="accent2" w:themeFillTint="33"/>
          </w:tcPr>
          <w:p w14:paraId="38B4C828" w14:textId="67A44AD3" w:rsidR="009A225A" w:rsidRPr="0056402A" w:rsidRDefault="009A225A" w:rsidP="009178B9">
            <w:pPr>
              <w:rPr>
                <w:sz w:val="18"/>
                <w:szCs w:val="18"/>
              </w:rPr>
            </w:pPr>
            <w:r w:rsidRPr="0056402A">
              <w:rPr>
                <w:sz w:val="18"/>
                <w:szCs w:val="18"/>
              </w:rPr>
              <w:t>Describes something that has a big influence on a person’s development.</w:t>
            </w:r>
          </w:p>
        </w:tc>
      </w:tr>
      <w:tr w:rsidR="009A225A" w:rsidRPr="00862CF9" w14:paraId="2F34A1FD" w14:textId="77777777" w:rsidTr="009A225A">
        <w:trPr>
          <w:trHeight w:val="405"/>
          <w:jc w:val="center"/>
        </w:trPr>
        <w:tc>
          <w:tcPr>
            <w:tcW w:w="2011" w:type="pct"/>
            <w:shd w:val="clear" w:color="auto" w:fill="F4B083" w:themeFill="accent2" w:themeFillTint="99"/>
          </w:tcPr>
          <w:p w14:paraId="10673C93" w14:textId="706E72BA" w:rsidR="009A225A" w:rsidRPr="00862CF9" w:rsidRDefault="009A225A" w:rsidP="009178B9">
            <w:pPr>
              <w:rPr>
                <w:b/>
                <w:bCs/>
                <w:sz w:val="18"/>
                <w:szCs w:val="18"/>
              </w:rPr>
            </w:pPr>
            <w:r w:rsidRPr="00862CF9">
              <w:rPr>
                <w:b/>
                <w:bCs/>
                <w:sz w:val="18"/>
                <w:szCs w:val="18"/>
              </w:rPr>
              <w:t>gothic</w:t>
            </w:r>
          </w:p>
        </w:tc>
        <w:tc>
          <w:tcPr>
            <w:tcW w:w="2989" w:type="pct"/>
            <w:shd w:val="clear" w:color="auto" w:fill="FBE4D5" w:themeFill="accent2" w:themeFillTint="33"/>
          </w:tcPr>
          <w:p w14:paraId="638B8740" w14:textId="325948D5" w:rsidR="009A225A" w:rsidRPr="0056402A" w:rsidRDefault="0092342B" w:rsidP="009178B9">
            <w:pPr>
              <w:rPr>
                <w:sz w:val="18"/>
                <w:szCs w:val="18"/>
              </w:rPr>
            </w:pPr>
            <w:r w:rsidRPr="0056402A">
              <w:rPr>
                <w:sz w:val="18"/>
                <w:szCs w:val="18"/>
              </w:rPr>
              <w:t>Associated with darkness mystery, horror and gloom.</w:t>
            </w:r>
          </w:p>
        </w:tc>
      </w:tr>
      <w:tr w:rsidR="009A225A" w:rsidRPr="00862CF9" w14:paraId="46635386" w14:textId="77777777" w:rsidTr="009A225A">
        <w:trPr>
          <w:trHeight w:val="397"/>
          <w:jc w:val="center"/>
        </w:trPr>
        <w:tc>
          <w:tcPr>
            <w:tcW w:w="2011" w:type="pct"/>
            <w:shd w:val="clear" w:color="auto" w:fill="F4B083" w:themeFill="accent2" w:themeFillTint="99"/>
          </w:tcPr>
          <w:p w14:paraId="45A1B3B5" w14:textId="532FAA71" w:rsidR="009A225A" w:rsidRPr="00862CF9" w:rsidRDefault="009A225A" w:rsidP="009178B9">
            <w:pPr>
              <w:rPr>
                <w:b/>
                <w:bCs/>
                <w:sz w:val="18"/>
                <w:szCs w:val="18"/>
              </w:rPr>
            </w:pPr>
            <w:r w:rsidRPr="00862CF9">
              <w:rPr>
                <w:b/>
                <w:bCs/>
                <w:sz w:val="18"/>
                <w:szCs w:val="18"/>
              </w:rPr>
              <w:t>ignorance</w:t>
            </w:r>
          </w:p>
        </w:tc>
        <w:tc>
          <w:tcPr>
            <w:tcW w:w="2989" w:type="pct"/>
            <w:shd w:val="clear" w:color="auto" w:fill="FBE4D5" w:themeFill="accent2" w:themeFillTint="33"/>
          </w:tcPr>
          <w:p w14:paraId="6777F61A" w14:textId="4D44AE5B" w:rsidR="009A225A" w:rsidRPr="0056402A" w:rsidRDefault="009A225A" w:rsidP="009178B9">
            <w:pPr>
              <w:rPr>
                <w:sz w:val="18"/>
                <w:szCs w:val="18"/>
              </w:rPr>
            </w:pPr>
            <w:r w:rsidRPr="0056402A">
              <w:rPr>
                <w:sz w:val="18"/>
                <w:szCs w:val="18"/>
              </w:rPr>
              <w:t>A lack of knowledge, awareness or education.</w:t>
            </w:r>
          </w:p>
        </w:tc>
      </w:tr>
      <w:tr w:rsidR="009A225A" w:rsidRPr="00862CF9" w14:paraId="2A68A7AC" w14:textId="77777777" w:rsidTr="009A225A">
        <w:trPr>
          <w:trHeight w:val="50"/>
          <w:jc w:val="center"/>
        </w:trPr>
        <w:tc>
          <w:tcPr>
            <w:tcW w:w="2011" w:type="pct"/>
            <w:shd w:val="clear" w:color="auto" w:fill="F4B083" w:themeFill="accent2" w:themeFillTint="99"/>
          </w:tcPr>
          <w:p w14:paraId="78FB29AC" w14:textId="0A51A13D" w:rsidR="009A225A" w:rsidRPr="00862CF9" w:rsidRDefault="009A225A" w:rsidP="009178B9">
            <w:pPr>
              <w:rPr>
                <w:b/>
                <w:bCs/>
                <w:sz w:val="18"/>
                <w:szCs w:val="18"/>
              </w:rPr>
            </w:pPr>
            <w:r w:rsidRPr="00862CF9">
              <w:rPr>
                <w:b/>
                <w:bCs/>
                <w:sz w:val="18"/>
                <w:szCs w:val="18"/>
              </w:rPr>
              <w:t>isolated</w:t>
            </w:r>
          </w:p>
        </w:tc>
        <w:tc>
          <w:tcPr>
            <w:tcW w:w="2989" w:type="pct"/>
            <w:shd w:val="clear" w:color="auto" w:fill="FBE4D5" w:themeFill="accent2" w:themeFillTint="33"/>
          </w:tcPr>
          <w:p w14:paraId="567A974E" w14:textId="7944C423" w:rsidR="009A225A" w:rsidRPr="0056402A" w:rsidRDefault="009A225A" w:rsidP="009178B9">
            <w:pPr>
              <w:rPr>
                <w:sz w:val="18"/>
                <w:szCs w:val="18"/>
              </w:rPr>
            </w:pPr>
            <w:r w:rsidRPr="0056402A">
              <w:rPr>
                <w:sz w:val="18"/>
                <w:szCs w:val="18"/>
              </w:rPr>
              <w:t>Far away from other places, buildings or people.</w:t>
            </w:r>
          </w:p>
        </w:tc>
      </w:tr>
      <w:tr w:rsidR="009A225A" w:rsidRPr="00862CF9" w14:paraId="5D9D8EDC" w14:textId="77777777" w:rsidTr="009A225A">
        <w:trPr>
          <w:trHeight w:val="50"/>
          <w:jc w:val="center"/>
        </w:trPr>
        <w:tc>
          <w:tcPr>
            <w:tcW w:w="2011" w:type="pct"/>
            <w:shd w:val="clear" w:color="auto" w:fill="F4B083" w:themeFill="accent2" w:themeFillTint="99"/>
          </w:tcPr>
          <w:p w14:paraId="71B0ADD5" w14:textId="765F9618" w:rsidR="009A225A" w:rsidRPr="005E5D33" w:rsidRDefault="009A225A" w:rsidP="009178B9">
            <w:pPr>
              <w:rPr>
                <w:b/>
                <w:bCs/>
                <w:i/>
                <w:iCs/>
                <w:sz w:val="18"/>
                <w:szCs w:val="18"/>
              </w:rPr>
            </w:pPr>
            <w:r w:rsidRPr="005E5D33">
              <w:rPr>
                <w:b/>
                <w:bCs/>
                <w:i/>
                <w:iCs/>
                <w:sz w:val="18"/>
                <w:szCs w:val="18"/>
              </w:rPr>
              <w:t>juxtaposition</w:t>
            </w:r>
          </w:p>
        </w:tc>
        <w:tc>
          <w:tcPr>
            <w:tcW w:w="2989" w:type="pct"/>
            <w:shd w:val="clear" w:color="auto" w:fill="FBE4D5" w:themeFill="accent2" w:themeFillTint="33"/>
          </w:tcPr>
          <w:p w14:paraId="2209C9FA" w14:textId="11F77FCD" w:rsidR="009A225A" w:rsidRPr="0056402A" w:rsidRDefault="002C4D2D" w:rsidP="009178B9">
            <w:pPr>
              <w:rPr>
                <w:sz w:val="18"/>
                <w:szCs w:val="18"/>
              </w:rPr>
            </w:pPr>
            <w:r w:rsidRPr="0056402A">
              <w:rPr>
                <w:sz w:val="18"/>
                <w:szCs w:val="18"/>
              </w:rPr>
              <w:t>When a writer places two different things together for a reason.</w:t>
            </w:r>
          </w:p>
        </w:tc>
      </w:tr>
      <w:tr w:rsidR="009A225A" w:rsidRPr="00862CF9" w14:paraId="5916E1DC" w14:textId="77777777" w:rsidTr="009A225A">
        <w:trPr>
          <w:trHeight w:val="227"/>
          <w:jc w:val="center"/>
        </w:trPr>
        <w:tc>
          <w:tcPr>
            <w:tcW w:w="2011" w:type="pct"/>
            <w:shd w:val="clear" w:color="auto" w:fill="F4B083" w:themeFill="accent2" w:themeFillTint="99"/>
          </w:tcPr>
          <w:p w14:paraId="26C748C8" w14:textId="0954BF9A" w:rsidR="009A225A" w:rsidRPr="00862CF9" w:rsidRDefault="009A225A" w:rsidP="7946E462">
            <w:pPr>
              <w:rPr>
                <w:b/>
                <w:bCs/>
                <w:sz w:val="18"/>
                <w:szCs w:val="18"/>
              </w:rPr>
            </w:pPr>
            <w:r w:rsidRPr="00862CF9">
              <w:rPr>
                <w:b/>
                <w:bCs/>
                <w:sz w:val="18"/>
                <w:szCs w:val="18"/>
              </w:rPr>
              <w:t>melodramatic</w:t>
            </w:r>
          </w:p>
        </w:tc>
        <w:tc>
          <w:tcPr>
            <w:tcW w:w="2989" w:type="pct"/>
            <w:shd w:val="clear" w:color="auto" w:fill="FBE4D5" w:themeFill="accent2" w:themeFillTint="33"/>
          </w:tcPr>
          <w:p w14:paraId="2891E398" w14:textId="697FB310" w:rsidR="009A225A" w:rsidRPr="0056402A" w:rsidRDefault="00671C6C" w:rsidP="00671C6C">
            <w:pPr>
              <w:spacing w:line="259" w:lineRule="auto"/>
              <w:rPr>
                <w:rFonts w:ascii="Calibri" w:eastAsia="Calibri" w:hAnsi="Calibri" w:cs="Calibri"/>
                <w:sz w:val="18"/>
                <w:szCs w:val="18"/>
              </w:rPr>
            </w:pPr>
            <w:r w:rsidRPr="0056402A">
              <w:rPr>
                <w:rFonts w:ascii="Calibri" w:eastAsia="Calibri" w:hAnsi="Calibri" w:cs="Calibri"/>
                <w:color w:val="000000" w:themeColor="text1"/>
                <w:sz w:val="18"/>
                <w:szCs w:val="18"/>
              </w:rPr>
              <w:t>When someone reacts over the top, or overly emotional.</w:t>
            </w:r>
          </w:p>
        </w:tc>
      </w:tr>
      <w:tr w:rsidR="009A225A" w:rsidRPr="00862CF9" w14:paraId="42D51865" w14:textId="77777777" w:rsidTr="009A225A">
        <w:trPr>
          <w:trHeight w:val="227"/>
          <w:jc w:val="center"/>
        </w:trPr>
        <w:tc>
          <w:tcPr>
            <w:tcW w:w="2011" w:type="pct"/>
            <w:shd w:val="clear" w:color="auto" w:fill="F4B083" w:themeFill="accent2" w:themeFillTint="99"/>
          </w:tcPr>
          <w:p w14:paraId="31788D02" w14:textId="06E7CF6F" w:rsidR="009A225A" w:rsidRPr="005E5D33" w:rsidRDefault="009A225A" w:rsidP="009178B9">
            <w:pPr>
              <w:rPr>
                <w:b/>
                <w:bCs/>
                <w:i/>
                <w:iCs/>
                <w:sz w:val="18"/>
                <w:szCs w:val="18"/>
              </w:rPr>
            </w:pPr>
            <w:r w:rsidRPr="005E5D33">
              <w:rPr>
                <w:b/>
                <w:bCs/>
                <w:i/>
                <w:iCs/>
                <w:sz w:val="18"/>
                <w:szCs w:val="18"/>
              </w:rPr>
              <w:t>motif</w:t>
            </w:r>
          </w:p>
        </w:tc>
        <w:tc>
          <w:tcPr>
            <w:tcW w:w="2989" w:type="pct"/>
            <w:shd w:val="clear" w:color="auto" w:fill="FBE4D5" w:themeFill="accent2" w:themeFillTint="33"/>
          </w:tcPr>
          <w:p w14:paraId="78C649E8" w14:textId="366E760E" w:rsidR="009A225A" w:rsidRPr="0056402A" w:rsidRDefault="00600199" w:rsidP="009178B9">
            <w:pPr>
              <w:rPr>
                <w:sz w:val="18"/>
                <w:szCs w:val="18"/>
              </w:rPr>
            </w:pPr>
            <w:r w:rsidRPr="0056402A">
              <w:rPr>
                <w:sz w:val="18"/>
                <w:szCs w:val="18"/>
              </w:rPr>
              <w:t>A symbolic image or idea that is repeated in a text.</w:t>
            </w:r>
          </w:p>
        </w:tc>
      </w:tr>
      <w:tr w:rsidR="009A225A" w:rsidRPr="00862CF9" w14:paraId="16737F2F" w14:textId="77777777" w:rsidTr="009A225A">
        <w:trPr>
          <w:trHeight w:val="227"/>
          <w:jc w:val="center"/>
        </w:trPr>
        <w:tc>
          <w:tcPr>
            <w:tcW w:w="2011" w:type="pct"/>
            <w:shd w:val="clear" w:color="auto" w:fill="F4B083" w:themeFill="accent2" w:themeFillTint="99"/>
          </w:tcPr>
          <w:p w14:paraId="45C07AC3" w14:textId="3CCB77D6" w:rsidR="009A225A" w:rsidRPr="005E5D33" w:rsidRDefault="009A225A" w:rsidP="009178B9">
            <w:pPr>
              <w:rPr>
                <w:b/>
                <w:bCs/>
                <w:i/>
                <w:iCs/>
                <w:sz w:val="18"/>
                <w:szCs w:val="18"/>
              </w:rPr>
            </w:pPr>
            <w:r w:rsidRPr="005E5D33">
              <w:rPr>
                <w:b/>
                <w:bCs/>
                <w:i/>
                <w:iCs/>
                <w:sz w:val="18"/>
                <w:szCs w:val="18"/>
              </w:rPr>
              <w:t>narrative voice</w:t>
            </w:r>
          </w:p>
        </w:tc>
        <w:tc>
          <w:tcPr>
            <w:tcW w:w="2989" w:type="pct"/>
            <w:shd w:val="clear" w:color="auto" w:fill="FBE4D5" w:themeFill="accent2" w:themeFillTint="33"/>
          </w:tcPr>
          <w:p w14:paraId="04326A61" w14:textId="64C11E7D" w:rsidR="009A225A" w:rsidRPr="0056402A" w:rsidRDefault="009A225A" w:rsidP="009178B9">
            <w:pPr>
              <w:rPr>
                <w:sz w:val="18"/>
                <w:szCs w:val="18"/>
              </w:rPr>
            </w:pPr>
            <w:r w:rsidRPr="0056402A">
              <w:rPr>
                <w:sz w:val="18"/>
                <w:szCs w:val="18"/>
              </w:rPr>
              <w:t>The perspective the story is told from.</w:t>
            </w:r>
          </w:p>
        </w:tc>
      </w:tr>
      <w:tr w:rsidR="009A225A" w:rsidRPr="00862CF9" w14:paraId="31627E5F" w14:textId="77777777" w:rsidTr="009A225A">
        <w:trPr>
          <w:trHeight w:val="227"/>
          <w:jc w:val="center"/>
        </w:trPr>
        <w:tc>
          <w:tcPr>
            <w:tcW w:w="2011" w:type="pct"/>
            <w:shd w:val="clear" w:color="auto" w:fill="F4B083" w:themeFill="accent2" w:themeFillTint="99"/>
          </w:tcPr>
          <w:p w14:paraId="4FF71BFA" w14:textId="62475A62" w:rsidR="009A225A" w:rsidRPr="00862CF9" w:rsidRDefault="009A225A" w:rsidP="4B4320B3">
            <w:pPr>
              <w:rPr>
                <w:b/>
                <w:bCs/>
                <w:sz w:val="18"/>
                <w:szCs w:val="18"/>
              </w:rPr>
            </w:pPr>
            <w:r w:rsidRPr="00862CF9">
              <w:rPr>
                <w:b/>
                <w:bCs/>
                <w:sz w:val="18"/>
                <w:szCs w:val="18"/>
              </w:rPr>
              <w:t>omen</w:t>
            </w:r>
          </w:p>
        </w:tc>
        <w:tc>
          <w:tcPr>
            <w:tcW w:w="2989" w:type="pct"/>
            <w:shd w:val="clear" w:color="auto" w:fill="FBE4D5" w:themeFill="accent2" w:themeFillTint="33"/>
          </w:tcPr>
          <w:p w14:paraId="663B1702" w14:textId="7CBA9F07" w:rsidR="009A225A" w:rsidRPr="0056402A" w:rsidRDefault="009A225A" w:rsidP="4B4320B3">
            <w:pPr>
              <w:rPr>
                <w:sz w:val="18"/>
                <w:szCs w:val="18"/>
              </w:rPr>
            </w:pPr>
            <w:r w:rsidRPr="0056402A">
              <w:rPr>
                <w:sz w:val="18"/>
                <w:szCs w:val="18"/>
              </w:rPr>
              <w:t>A symbol or sign used as a warning that something bad is going to happen.</w:t>
            </w:r>
          </w:p>
        </w:tc>
      </w:tr>
      <w:tr w:rsidR="009A225A" w:rsidRPr="00862CF9" w14:paraId="23331BFF" w14:textId="77777777" w:rsidTr="009A225A">
        <w:trPr>
          <w:trHeight w:val="227"/>
          <w:jc w:val="center"/>
        </w:trPr>
        <w:tc>
          <w:tcPr>
            <w:tcW w:w="2011" w:type="pct"/>
            <w:shd w:val="clear" w:color="auto" w:fill="F4B083" w:themeFill="accent2" w:themeFillTint="99"/>
          </w:tcPr>
          <w:p w14:paraId="59ADB3CE" w14:textId="7282B8C9" w:rsidR="009A225A" w:rsidRPr="00862CF9" w:rsidRDefault="009A225A" w:rsidP="009178B9">
            <w:pPr>
              <w:rPr>
                <w:b/>
                <w:bCs/>
                <w:sz w:val="18"/>
                <w:szCs w:val="18"/>
              </w:rPr>
            </w:pPr>
            <w:r w:rsidRPr="00862CF9">
              <w:rPr>
                <w:b/>
                <w:bCs/>
                <w:sz w:val="18"/>
                <w:szCs w:val="18"/>
              </w:rPr>
              <w:t>ominous</w:t>
            </w:r>
          </w:p>
        </w:tc>
        <w:tc>
          <w:tcPr>
            <w:tcW w:w="2989" w:type="pct"/>
            <w:shd w:val="clear" w:color="auto" w:fill="FBE4D5" w:themeFill="accent2" w:themeFillTint="33"/>
          </w:tcPr>
          <w:p w14:paraId="77D7D208" w14:textId="5BF7144E" w:rsidR="009A225A" w:rsidRPr="0056402A" w:rsidRDefault="009A225A" w:rsidP="009178B9">
            <w:pPr>
              <w:rPr>
                <w:sz w:val="18"/>
                <w:szCs w:val="18"/>
              </w:rPr>
            </w:pPr>
            <w:r w:rsidRPr="0056402A">
              <w:rPr>
                <w:sz w:val="18"/>
                <w:szCs w:val="18"/>
              </w:rPr>
              <w:t>Giving the impression that something bad is going to happen.</w:t>
            </w:r>
          </w:p>
        </w:tc>
      </w:tr>
      <w:tr w:rsidR="009A225A" w:rsidRPr="00862CF9" w14:paraId="1DD1FC6F" w14:textId="77777777" w:rsidTr="009A225A">
        <w:trPr>
          <w:trHeight w:val="227"/>
          <w:jc w:val="center"/>
        </w:trPr>
        <w:tc>
          <w:tcPr>
            <w:tcW w:w="2011" w:type="pct"/>
            <w:shd w:val="clear" w:color="auto" w:fill="F4B083" w:themeFill="accent2" w:themeFillTint="99"/>
          </w:tcPr>
          <w:p w14:paraId="1BCDF549" w14:textId="286B003E" w:rsidR="009A225A" w:rsidRPr="00862CF9" w:rsidRDefault="009A225A" w:rsidP="009178B9">
            <w:pPr>
              <w:rPr>
                <w:b/>
                <w:bCs/>
                <w:sz w:val="18"/>
                <w:szCs w:val="18"/>
              </w:rPr>
            </w:pPr>
            <w:r w:rsidRPr="00862CF9">
              <w:rPr>
                <w:b/>
                <w:bCs/>
                <w:sz w:val="18"/>
                <w:szCs w:val="18"/>
              </w:rPr>
              <w:t>oppress</w:t>
            </w:r>
            <w:r w:rsidR="008876E5" w:rsidRPr="00862CF9">
              <w:rPr>
                <w:b/>
                <w:bCs/>
                <w:sz w:val="18"/>
                <w:szCs w:val="18"/>
              </w:rPr>
              <w:t>ion</w:t>
            </w:r>
          </w:p>
          <w:p w14:paraId="091E45F8" w14:textId="77777777" w:rsidR="009A225A" w:rsidRPr="00862CF9" w:rsidRDefault="009A225A" w:rsidP="009178B9">
            <w:pPr>
              <w:rPr>
                <w:b/>
                <w:bCs/>
                <w:sz w:val="18"/>
                <w:szCs w:val="18"/>
              </w:rPr>
            </w:pPr>
          </w:p>
        </w:tc>
        <w:tc>
          <w:tcPr>
            <w:tcW w:w="2989" w:type="pct"/>
            <w:shd w:val="clear" w:color="auto" w:fill="FBE4D5" w:themeFill="accent2" w:themeFillTint="33"/>
          </w:tcPr>
          <w:p w14:paraId="696EF4C9" w14:textId="6816CE0D" w:rsidR="009A225A" w:rsidRPr="0056402A" w:rsidRDefault="00176F3D" w:rsidP="009178B9">
            <w:pPr>
              <w:rPr>
                <w:sz w:val="18"/>
                <w:szCs w:val="18"/>
              </w:rPr>
            </w:pPr>
            <w:r w:rsidRPr="0056402A">
              <w:rPr>
                <w:sz w:val="18"/>
                <w:szCs w:val="18"/>
              </w:rPr>
              <w:t>When power is used cruelly over people and they lose rights or freedom.</w:t>
            </w:r>
          </w:p>
        </w:tc>
      </w:tr>
      <w:tr w:rsidR="009A225A" w:rsidRPr="00862CF9" w14:paraId="063337AB" w14:textId="77777777" w:rsidTr="009A225A">
        <w:trPr>
          <w:trHeight w:val="227"/>
          <w:jc w:val="center"/>
        </w:trPr>
        <w:tc>
          <w:tcPr>
            <w:tcW w:w="2011" w:type="pct"/>
            <w:shd w:val="clear" w:color="auto" w:fill="F4B083" w:themeFill="accent2" w:themeFillTint="99"/>
          </w:tcPr>
          <w:p w14:paraId="29E47795" w14:textId="11C34CAC" w:rsidR="009A225A" w:rsidRPr="005E5D33" w:rsidRDefault="009A225A" w:rsidP="7946E462">
            <w:pPr>
              <w:rPr>
                <w:b/>
                <w:bCs/>
                <w:i/>
                <w:iCs/>
                <w:sz w:val="18"/>
                <w:szCs w:val="18"/>
              </w:rPr>
            </w:pPr>
            <w:r w:rsidRPr="005E5D33">
              <w:rPr>
                <w:b/>
                <w:bCs/>
                <w:i/>
                <w:iCs/>
                <w:sz w:val="18"/>
                <w:szCs w:val="18"/>
              </w:rPr>
              <w:t>pathetic fallacy</w:t>
            </w:r>
          </w:p>
        </w:tc>
        <w:tc>
          <w:tcPr>
            <w:tcW w:w="2989" w:type="pct"/>
            <w:shd w:val="clear" w:color="auto" w:fill="FBE4D5" w:themeFill="accent2" w:themeFillTint="33"/>
          </w:tcPr>
          <w:p w14:paraId="0174561A" w14:textId="7A8C96BC" w:rsidR="009A225A" w:rsidRPr="0056402A" w:rsidRDefault="009A225A" w:rsidP="00D06C03">
            <w:pPr>
              <w:spacing w:line="259" w:lineRule="auto"/>
              <w:rPr>
                <w:rFonts w:ascii="Calibri" w:eastAsia="Calibri" w:hAnsi="Calibri" w:cs="Calibri"/>
                <w:sz w:val="18"/>
                <w:szCs w:val="18"/>
              </w:rPr>
            </w:pPr>
            <w:r w:rsidRPr="0056402A">
              <w:rPr>
                <w:rFonts w:ascii="Calibri" w:eastAsia="Calibri" w:hAnsi="Calibri" w:cs="Calibri"/>
                <w:color w:val="000000" w:themeColor="text1"/>
                <w:sz w:val="18"/>
                <w:szCs w:val="18"/>
              </w:rPr>
              <w:t>When a writer uses the weather to reflect human emotions.</w:t>
            </w:r>
          </w:p>
        </w:tc>
      </w:tr>
      <w:tr w:rsidR="005F0237" w:rsidRPr="00862CF9" w14:paraId="2839130A" w14:textId="77777777" w:rsidTr="00C656D9">
        <w:trPr>
          <w:trHeight w:val="227"/>
          <w:jc w:val="center"/>
        </w:trPr>
        <w:tc>
          <w:tcPr>
            <w:tcW w:w="2011" w:type="pct"/>
            <w:shd w:val="clear" w:color="auto" w:fill="F4B083" w:themeFill="accent2" w:themeFillTint="99"/>
          </w:tcPr>
          <w:p w14:paraId="072C756C" w14:textId="3DA8DA30" w:rsidR="005F0237" w:rsidRPr="00862CF9" w:rsidRDefault="005F0237" w:rsidP="005F0237">
            <w:pPr>
              <w:rPr>
                <w:b/>
                <w:bCs/>
                <w:sz w:val="18"/>
                <w:szCs w:val="18"/>
              </w:rPr>
            </w:pPr>
            <w:r w:rsidRPr="00862CF9">
              <w:rPr>
                <w:b/>
                <w:bCs/>
                <w:sz w:val="18"/>
                <w:szCs w:val="18"/>
              </w:rPr>
              <w:t>prejudice</w:t>
            </w:r>
          </w:p>
        </w:tc>
        <w:tc>
          <w:tcPr>
            <w:tcW w:w="2989" w:type="pct"/>
            <w:shd w:val="clear" w:color="auto" w:fill="FBE4D5" w:themeFill="accent2" w:themeFillTint="33"/>
            <w:vAlign w:val="center"/>
          </w:tcPr>
          <w:p w14:paraId="4FA160CA" w14:textId="73BD854F" w:rsidR="005F0237" w:rsidRPr="0056402A" w:rsidRDefault="005F0237" w:rsidP="005F0237">
            <w:pPr>
              <w:rPr>
                <w:sz w:val="18"/>
                <w:szCs w:val="18"/>
              </w:rPr>
            </w:pPr>
            <w:r w:rsidRPr="0056402A">
              <w:rPr>
                <w:sz w:val="18"/>
                <w:szCs w:val="18"/>
              </w:rPr>
              <w:t>An unfair and untrue opinion or belief against a person or group.</w:t>
            </w:r>
          </w:p>
        </w:tc>
      </w:tr>
      <w:tr w:rsidR="009A225A" w:rsidRPr="00862CF9" w14:paraId="3F880358" w14:textId="77777777" w:rsidTr="009A225A">
        <w:trPr>
          <w:trHeight w:val="227"/>
          <w:jc w:val="center"/>
        </w:trPr>
        <w:tc>
          <w:tcPr>
            <w:tcW w:w="2011" w:type="pct"/>
            <w:shd w:val="clear" w:color="auto" w:fill="F4B083" w:themeFill="accent2" w:themeFillTint="99"/>
          </w:tcPr>
          <w:p w14:paraId="243D0D15" w14:textId="418C9CC7" w:rsidR="009A225A" w:rsidRPr="005E5D33" w:rsidRDefault="009A225A" w:rsidP="009178B9">
            <w:pPr>
              <w:rPr>
                <w:b/>
                <w:bCs/>
                <w:i/>
                <w:iCs/>
                <w:sz w:val="18"/>
                <w:szCs w:val="18"/>
              </w:rPr>
            </w:pPr>
            <w:r w:rsidRPr="005E5D33">
              <w:rPr>
                <w:b/>
                <w:bCs/>
                <w:i/>
                <w:iCs/>
                <w:sz w:val="18"/>
                <w:szCs w:val="18"/>
              </w:rPr>
              <w:t>protagonist</w:t>
            </w:r>
          </w:p>
        </w:tc>
        <w:tc>
          <w:tcPr>
            <w:tcW w:w="2989" w:type="pct"/>
            <w:shd w:val="clear" w:color="auto" w:fill="FBE4D5" w:themeFill="accent2" w:themeFillTint="33"/>
          </w:tcPr>
          <w:p w14:paraId="552B98C6" w14:textId="4A675369" w:rsidR="009A225A" w:rsidRPr="0056402A" w:rsidRDefault="009A225A" w:rsidP="009178B9">
            <w:pPr>
              <w:rPr>
                <w:sz w:val="18"/>
                <w:szCs w:val="18"/>
              </w:rPr>
            </w:pPr>
            <w:r w:rsidRPr="0056402A">
              <w:rPr>
                <w:sz w:val="18"/>
                <w:szCs w:val="18"/>
              </w:rPr>
              <w:t>The main character. They often have heroic characteristics.</w:t>
            </w:r>
          </w:p>
        </w:tc>
      </w:tr>
      <w:tr w:rsidR="009A225A" w:rsidRPr="00862CF9" w14:paraId="595152CA" w14:textId="77777777" w:rsidTr="009A225A">
        <w:trPr>
          <w:trHeight w:val="227"/>
          <w:jc w:val="center"/>
        </w:trPr>
        <w:tc>
          <w:tcPr>
            <w:tcW w:w="2011" w:type="pct"/>
            <w:shd w:val="clear" w:color="auto" w:fill="F4B083" w:themeFill="accent2" w:themeFillTint="99"/>
          </w:tcPr>
          <w:p w14:paraId="343E4263" w14:textId="71C0C840" w:rsidR="009A225A" w:rsidRPr="00862CF9" w:rsidRDefault="009A225A" w:rsidP="009178B9">
            <w:pPr>
              <w:rPr>
                <w:b/>
                <w:bCs/>
                <w:sz w:val="18"/>
                <w:szCs w:val="18"/>
              </w:rPr>
            </w:pPr>
            <w:r w:rsidRPr="00862CF9">
              <w:rPr>
                <w:b/>
                <w:bCs/>
                <w:sz w:val="18"/>
                <w:szCs w:val="18"/>
              </w:rPr>
              <w:t>sceptical</w:t>
            </w:r>
          </w:p>
        </w:tc>
        <w:tc>
          <w:tcPr>
            <w:tcW w:w="2989" w:type="pct"/>
            <w:shd w:val="clear" w:color="auto" w:fill="FBE4D5" w:themeFill="accent2" w:themeFillTint="33"/>
          </w:tcPr>
          <w:p w14:paraId="53859054" w14:textId="355F3FA1" w:rsidR="009A225A" w:rsidRPr="0056402A" w:rsidRDefault="009A225A" w:rsidP="009178B9">
            <w:pPr>
              <w:rPr>
                <w:sz w:val="18"/>
                <w:szCs w:val="18"/>
              </w:rPr>
            </w:pPr>
            <w:r w:rsidRPr="0056402A">
              <w:rPr>
                <w:sz w:val="18"/>
                <w:szCs w:val="18"/>
              </w:rPr>
              <w:t>Doubtful and not easily convinced</w:t>
            </w:r>
          </w:p>
        </w:tc>
      </w:tr>
      <w:tr w:rsidR="009A225A" w:rsidRPr="00862CF9" w14:paraId="4B792AE4" w14:textId="77777777" w:rsidTr="009A225A">
        <w:trPr>
          <w:trHeight w:val="227"/>
          <w:jc w:val="center"/>
        </w:trPr>
        <w:tc>
          <w:tcPr>
            <w:tcW w:w="2011" w:type="pct"/>
            <w:shd w:val="clear" w:color="auto" w:fill="F4B083" w:themeFill="accent2" w:themeFillTint="99"/>
          </w:tcPr>
          <w:p w14:paraId="100EF657" w14:textId="194B5296" w:rsidR="009A225A" w:rsidRPr="00862CF9" w:rsidRDefault="009A225A" w:rsidP="009178B9">
            <w:pPr>
              <w:rPr>
                <w:b/>
                <w:bCs/>
                <w:sz w:val="18"/>
                <w:szCs w:val="18"/>
              </w:rPr>
            </w:pPr>
            <w:r w:rsidRPr="00862CF9">
              <w:rPr>
                <w:b/>
                <w:bCs/>
                <w:sz w:val="18"/>
                <w:szCs w:val="18"/>
              </w:rPr>
              <w:t>superstition</w:t>
            </w:r>
          </w:p>
        </w:tc>
        <w:tc>
          <w:tcPr>
            <w:tcW w:w="2989" w:type="pct"/>
            <w:shd w:val="clear" w:color="auto" w:fill="FBE4D5" w:themeFill="accent2" w:themeFillTint="33"/>
          </w:tcPr>
          <w:p w14:paraId="290D3156" w14:textId="16258A17" w:rsidR="009A225A" w:rsidRPr="0056402A" w:rsidRDefault="009A225A" w:rsidP="009178B9">
            <w:pPr>
              <w:rPr>
                <w:sz w:val="18"/>
                <w:szCs w:val="18"/>
              </w:rPr>
            </w:pPr>
            <w:r w:rsidRPr="0056402A">
              <w:rPr>
                <w:sz w:val="18"/>
                <w:szCs w:val="18"/>
              </w:rPr>
              <w:t>A non-scientific belief in how  supernatural things can affect your luck or fate.</w:t>
            </w:r>
          </w:p>
        </w:tc>
      </w:tr>
      <w:tr w:rsidR="00AA3C2B" w:rsidRPr="00862CF9" w14:paraId="1708D20C" w14:textId="77777777" w:rsidTr="009A225A">
        <w:trPr>
          <w:trHeight w:val="227"/>
          <w:jc w:val="center"/>
        </w:trPr>
        <w:tc>
          <w:tcPr>
            <w:tcW w:w="2011" w:type="pct"/>
            <w:shd w:val="clear" w:color="auto" w:fill="F4B083" w:themeFill="accent2" w:themeFillTint="99"/>
          </w:tcPr>
          <w:p w14:paraId="458EAAB1" w14:textId="5D12ABF2" w:rsidR="00AA3C2B" w:rsidRPr="00AA3C2B" w:rsidRDefault="00AA3C2B" w:rsidP="009178B9">
            <w:pPr>
              <w:rPr>
                <w:b/>
                <w:bCs/>
                <w:i/>
                <w:iCs/>
                <w:sz w:val="18"/>
                <w:szCs w:val="18"/>
              </w:rPr>
            </w:pPr>
            <w:r>
              <w:rPr>
                <w:b/>
                <w:bCs/>
                <w:i/>
                <w:iCs/>
                <w:sz w:val="18"/>
                <w:szCs w:val="18"/>
              </w:rPr>
              <w:t>symbolism</w:t>
            </w:r>
          </w:p>
        </w:tc>
        <w:tc>
          <w:tcPr>
            <w:tcW w:w="2989" w:type="pct"/>
            <w:shd w:val="clear" w:color="auto" w:fill="FBE4D5" w:themeFill="accent2" w:themeFillTint="33"/>
          </w:tcPr>
          <w:p w14:paraId="0D372165" w14:textId="620086DD" w:rsidR="00AA3C2B" w:rsidRPr="0056402A" w:rsidRDefault="00270DCF" w:rsidP="009178B9">
            <w:pPr>
              <w:rPr>
                <w:sz w:val="18"/>
                <w:szCs w:val="18"/>
              </w:rPr>
            </w:pPr>
            <w:r w:rsidRPr="0056402A">
              <w:rPr>
                <w:sz w:val="18"/>
                <w:szCs w:val="18"/>
              </w:rPr>
              <w:t>Something that represents or stands for a bigger idea.</w:t>
            </w:r>
          </w:p>
        </w:tc>
      </w:tr>
      <w:tr w:rsidR="0027374C" w:rsidRPr="00862CF9" w14:paraId="7E5C2779" w14:textId="77777777" w:rsidTr="009A225A">
        <w:trPr>
          <w:trHeight w:val="227"/>
          <w:jc w:val="center"/>
        </w:trPr>
        <w:tc>
          <w:tcPr>
            <w:tcW w:w="2011" w:type="pct"/>
            <w:shd w:val="clear" w:color="auto" w:fill="F4B083" w:themeFill="accent2" w:themeFillTint="99"/>
          </w:tcPr>
          <w:p w14:paraId="214A96AB" w14:textId="15ED3A0A" w:rsidR="0027374C" w:rsidRPr="005E5D33" w:rsidRDefault="0027374C" w:rsidP="0027374C">
            <w:pPr>
              <w:rPr>
                <w:b/>
                <w:bCs/>
                <w:i/>
                <w:iCs/>
                <w:sz w:val="18"/>
                <w:szCs w:val="18"/>
              </w:rPr>
            </w:pPr>
            <w:r w:rsidRPr="005E5D33">
              <w:rPr>
                <w:b/>
                <w:bCs/>
                <w:i/>
                <w:iCs/>
                <w:sz w:val="18"/>
                <w:szCs w:val="18"/>
              </w:rPr>
              <w:t>tension</w:t>
            </w:r>
          </w:p>
        </w:tc>
        <w:tc>
          <w:tcPr>
            <w:tcW w:w="2989" w:type="pct"/>
            <w:shd w:val="clear" w:color="auto" w:fill="FBE4D5" w:themeFill="accent2" w:themeFillTint="33"/>
          </w:tcPr>
          <w:p w14:paraId="15235934" w14:textId="01C3A200" w:rsidR="0027374C" w:rsidRPr="0056402A" w:rsidRDefault="0027374C" w:rsidP="0027374C">
            <w:pPr>
              <w:rPr>
                <w:rFonts w:ascii="Calibri" w:eastAsia="Calibri" w:hAnsi="Calibri" w:cs="Calibri"/>
                <w:sz w:val="18"/>
                <w:szCs w:val="18"/>
              </w:rPr>
            </w:pPr>
            <w:r w:rsidRPr="0056402A">
              <w:rPr>
                <w:rFonts w:ascii="Calibri" w:eastAsia="Calibri" w:hAnsi="Calibri" w:cs="Calibri"/>
                <w:color w:val="000000" w:themeColor="text1"/>
                <w:sz w:val="18"/>
                <w:szCs w:val="18"/>
              </w:rPr>
              <w:t>A part of a story that creates emotions such as worry, anxiety, fear and stress.</w:t>
            </w:r>
          </w:p>
        </w:tc>
      </w:tr>
      <w:tr w:rsidR="009A225A" w:rsidRPr="00862CF9" w14:paraId="105FBA11" w14:textId="77777777" w:rsidTr="009A225A">
        <w:trPr>
          <w:trHeight w:val="227"/>
          <w:jc w:val="center"/>
        </w:trPr>
        <w:tc>
          <w:tcPr>
            <w:tcW w:w="2011" w:type="pct"/>
            <w:shd w:val="clear" w:color="auto" w:fill="F4B083" w:themeFill="accent2" w:themeFillTint="99"/>
          </w:tcPr>
          <w:p w14:paraId="4EDB6984" w14:textId="17E0B71A" w:rsidR="009A225A" w:rsidRPr="005E5D33" w:rsidRDefault="009A225A" w:rsidP="7946E462">
            <w:pPr>
              <w:rPr>
                <w:b/>
                <w:bCs/>
                <w:i/>
                <w:iCs/>
                <w:sz w:val="18"/>
                <w:szCs w:val="18"/>
              </w:rPr>
            </w:pPr>
            <w:r w:rsidRPr="005E5D33">
              <w:rPr>
                <w:b/>
                <w:bCs/>
                <w:i/>
                <w:iCs/>
                <w:sz w:val="18"/>
                <w:szCs w:val="18"/>
              </w:rPr>
              <w:t>tone</w:t>
            </w:r>
          </w:p>
        </w:tc>
        <w:tc>
          <w:tcPr>
            <w:tcW w:w="2989" w:type="pct"/>
            <w:shd w:val="clear" w:color="auto" w:fill="FBE4D5" w:themeFill="accent2" w:themeFillTint="33"/>
          </w:tcPr>
          <w:p w14:paraId="62C80B55" w14:textId="5F2BB356" w:rsidR="009A225A" w:rsidRPr="0056402A" w:rsidRDefault="009A225A" w:rsidP="7946E462">
            <w:pPr>
              <w:rPr>
                <w:rFonts w:ascii="Calibri" w:eastAsia="Calibri" w:hAnsi="Calibri" w:cs="Calibri"/>
                <w:sz w:val="18"/>
                <w:szCs w:val="18"/>
              </w:rPr>
            </w:pPr>
            <w:r w:rsidRPr="0056402A">
              <w:rPr>
                <w:rFonts w:ascii="Calibri" w:eastAsia="Calibri" w:hAnsi="Calibri" w:cs="Calibri"/>
                <w:color w:val="000000" w:themeColor="text1"/>
                <w:sz w:val="18"/>
                <w:szCs w:val="18"/>
              </w:rPr>
              <w:t>The mood a writer creates.</w:t>
            </w:r>
          </w:p>
        </w:tc>
      </w:tr>
      <w:tr w:rsidR="009A225A" w:rsidRPr="00862CF9" w14:paraId="5A8F98BC" w14:textId="77777777" w:rsidTr="009A225A">
        <w:trPr>
          <w:trHeight w:val="227"/>
          <w:jc w:val="center"/>
        </w:trPr>
        <w:tc>
          <w:tcPr>
            <w:tcW w:w="2011" w:type="pct"/>
            <w:shd w:val="clear" w:color="auto" w:fill="F4B083" w:themeFill="accent2" w:themeFillTint="99"/>
          </w:tcPr>
          <w:p w14:paraId="7392124B" w14:textId="19577713" w:rsidR="009A225A" w:rsidRPr="00862CF9" w:rsidRDefault="009A225A" w:rsidP="7946E462">
            <w:pPr>
              <w:rPr>
                <w:b/>
                <w:bCs/>
                <w:sz w:val="18"/>
                <w:szCs w:val="18"/>
              </w:rPr>
            </w:pPr>
            <w:r w:rsidRPr="00862CF9">
              <w:rPr>
                <w:b/>
                <w:bCs/>
                <w:sz w:val="18"/>
                <w:szCs w:val="18"/>
              </w:rPr>
              <w:t>trauma</w:t>
            </w:r>
          </w:p>
        </w:tc>
        <w:tc>
          <w:tcPr>
            <w:tcW w:w="2989" w:type="pct"/>
            <w:shd w:val="clear" w:color="auto" w:fill="FBE4D5" w:themeFill="accent2" w:themeFillTint="33"/>
          </w:tcPr>
          <w:p w14:paraId="021DF04A" w14:textId="4C83E3D2" w:rsidR="009A225A" w:rsidRPr="0056402A" w:rsidRDefault="00BA1966" w:rsidP="7946E462">
            <w:pPr>
              <w:rPr>
                <w:rFonts w:ascii="Calibri" w:eastAsia="Calibri" w:hAnsi="Calibri" w:cs="Calibri"/>
                <w:sz w:val="18"/>
                <w:szCs w:val="18"/>
              </w:rPr>
            </w:pPr>
            <w:r w:rsidRPr="0056402A">
              <w:rPr>
                <w:rFonts w:ascii="Calibri" w:eastAsia="Calibri" w:hAnsi="Calibri" w:cs="Calibri"/>
                <w:color w:val="000000" w:themeColor="text1"/>
                <w:sz w:val="18"/>
                <w:szCs w:val="18"/>
              </w:rPr>
              <w:t>A long-lasting emotional response to something shocking.</w:t>
            </w:r>
          </w:p>
        </w:tc>
      </w:tr>
      <w:tr w:rsidR="009A225A" w:rsidRPr="00862CF9" w14:paraId="1193A033" w14:textId="77777777" w:rsidTr="009A225A">
        <w:trPr>
          <w:trHeight w:val="227"/>
          <w:jc w:val="center"/>
        </w:trPr>
        <w:tc>
          <w:tcPr>
            <w:tcW w:w="2011" w:type="pct"/>
            <w:shd w:val="clear" w:color="auto" w:fill="F4B083" w:themeFill="accent2" w:themeFillTint="99"/>
          </w:tcPr>
          <w:p w14:paraId="0268D207" w14:textId="623C0467" w:rsidR="009A225A" w:rsidRPr="00862CF9" w:rsidRDefault="009A225A" w:rsidP="007502DC">
            <w:pPr>
              <w:rPr>
                <w:b/>
                <w:bCs/>
                <w:sz w:val="18"/>
                <w:szCs w:val="18"/>
              </w:rPr>
            </w:pPr>
            <w:r w:rsidRPr="00862CF9">
              <w:rPr>
                <w:b/>
                <w:bCs/>
                <w:sz w:val="18"/>
                <w:szCs w:val="18"/>
              </w:rPr>
              <w:t>vulnerability</w:t>
            </w:r>
          </w:p>
        </w:tc>
        <w:tc>
          <w:tcPr>
            <w:tcW w:w="2989" w:type="pct"/>
            <w:shd w:val="clear" w:color="auto" w:fill="FBE4D5" w:themeFill="accent2" w:themeFillTint="33"/>
          </w:tcPr>
          <w:p w14:paraId="0A4E0394" w14:textId="7820BD36" w:rsidR="009A225A" w:rsidRPr="0056402A" w:rsidRDefault="00F06E46" w:rsidP="007502DC">
            <w:pPr>
              <w:rPr>
                <w:sz w:val="18"/>
                <w:szCs w:val="18"/>
              </w:rPr>
            </w:pPr>
            <w:r w:rsidRPr="0056402A">
              <w:rPr>
                <w:sz w:val="18"/>
                <w:szCs w:val="18"/>
              </w:rPr>
              <w:t>The state of being exposed to harm.</w:t>
            </w:r>
          </w:p>
        </w:tc>
      </w:tr>
    </w:tbl>
    <w:p w14:paraId="0D6BC74B" w14:textId="25D00DDB" w:rsidR="00085715" w:rsidRPr="0034648D" w:rsidRDefault="00085715" w:rsidP="1556BCE2">
      <w:pPr>
        <w:spacing w:before="120" w:after="0" w:line="240" w:lineRule="auto"/>
        <w:jc w:val="center"/>
        <w:rPr>
          <w:sz w:val="10"/>
          <w:szCs w:val="10"/>
        </w:rPr>
      </w:pPr>
    </w:p>
    <w:sectPr w:rsidR="00085715" w:rsidRPr="0034648D" w:rsidSect="004D3AD5">
      <w:pgSz w:w="16838" w:h="11906" w:orient="landscape"/>
      <w:pgMar w:top="284" w:right="454" w:bottom="284" w:left="454" w:header="709" w:footer="709" w:gutter="0"/>
      <w:cols w:num="4" w:space="1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191D"/>
    <w:multiLevelType w:val="hybridMultilevel"/>
    <w:tmpl w:val="25E8AF72"/>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 w15:restartNumberingAfterBreak="0">
    <w:nsid w:val="0CD20670"/>
    <w:multiLevelType w:val="multilevel"/>
    <w:tmpl w:val="42F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B1F0A"/>
    <w:multiLevelType w:val="hybridMultilevel"/>
    <w:tmpl w:val="F8E0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56DD"/>
    <w:multiLevelType w:val="hybridMultilevel"/>
    <w:tmpl w:val="61F80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51EBC"/>
    <w:multiLevelType w:val="hybridMultilevel"/>
    <w:tmpl w:val="AAE0FC84"/>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5" w15:restartNumberingAfterBreak="0">
    <w:nsid w:val="2C697B2B"/>
    <w:multiLevelType w:val="hybridMultilevel"/>
    <w:tmpl w:val="5BA67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2401F"/>
    <w:multiLevelType w:val="hybridMultilevel"/>
    <w:tmpl w:val="82846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73968"/>
    <w:multiLevelType w:val="multilevel"/>
    <w:tmpl w:val="0152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E167CC"/>
    <w:multiLevelType w:val="multilevel"/>
    <w:tmpl w:val="AD6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1F4A10"/>
    <w:multiLevelType w:val="hybridMultilevel"/>
    <w:tmpl w:val="00B6BBB8"/>
    <w:lvl w:ilvl="0" w:tplc="D974D114">
      <w:start w:val="1"/>
      <w:numFmt w:val="bullet"/>
      <w:lvlText w:val=""/>
      <w:lvlJc w:val="left"/>
      <w:pPr>
        <w:ind w:left="466" w:hanging="360"/>
      </w:pPr>
      <w:rPr>
        <w:rFonts w:ascii="Webdings" w:hAnsi="Webdings"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0" w15:restartNumberingAfterBreak="0">
    <w:nsid w:val="5A984941"/>
    <w:multiLevelType w:val="hybridMultilevel"/>
    <w:tmpl w:val="84263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672DE"/>
    <w:multiLevelType w:val="hybridMultilevel"/>
    <w:tmpl w:val="EE364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F70A1"/>
    <w:multiLevelType w:val="multilevel"/>
    <w:tmpl w:val="212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17998">
    <w:abstractNumId w:val="0"/>
  </w:num>
  <w:num w:numId="2" w16cid:durableId="1468203008">
    <w:abstractNumId w:val="2"/>
  </w:num>
  <w:num w:numId="3" w16cid:durableId="299458143">
    <w:abstractNumId w:val="12"/>
  </w:num>
  <w:num w:numId="4" w16cid:durableId="1534880287">
    <w:abstractNumId w:val="8"/>
  </w:num>
  <w:num w:numId="5" w16cid:durableId="835848071">
    <w:abstractNumId w:val="1"/>
  </w:num>
  <w:num w:numId="6" w16cid:durableId="1017921566">
    <w:abstractNumId w:val="7"/>
  </w:num>
  <w:num w:numId="7" w16cid:durableId="1540582811">
    <w:abstractNumId w:val="4"/>
  </w:num>
  <w:num w:numId="8" w16cid:durableId="518929544">
    <w:abstractNumId w:val="9"/>
  </w:num>
  <w:num w:numId="9" w16cid:durableId="1216507951">
    <w:abstractNumId w:val="5"/>
  </w:num>
  <w:num w:numId="10" w16cid:durableId="2015957438">
    <w:abstractNumId w:val="3"/>
  </w:num>
  <w:num w:numId="11" w16cid:durableId="1684016162">
    <w:abstractNumId w:val="6"/>
  </w:num>
  <w:num w:numId="12" w16cid:durableId="1646353258">
    <w:abstractNumId w:val="11"/>
  </w:num>
  <w:num w:numId="13" w16cid:durableId="965619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42"/>
    <w:rsid w:val="00023DA7"/>
    <w:rsid w:val="000250ED"/>
    <w:rsid w:val="00052CA3"/>
    <w:rsid w:val="000732CE"/>
    <w:rsid w:val="00085715"/>
    <w:rsid w:val="00092AD1"/>
    <w:rsid w:val="0009796E"/>
    <w:rsid w:val="000B467A"/>
    <w:rsid w:val="000E6883"/>
    <w:rsid w:val="00101844"/>
    <w:rsid w:val="00107246"/>
    <w:rsid w:val="00141DE4"/>
    <w:rsid w:val="00153B7D"/>
    <w:rsid w:val="00176F3D"/>
    <w:rsid w:val="00197442"/>
    <w:rsid w:val="001C3965"/>
    <w:rsid w:val="001D1C02"/>
    <w:rsid w:val="001E7970"/>
    <w:rsid w:val="00224064"/>
    <w:rsid w:val="002321E5"/>
    <w:rsid w:val="00237965"/>
    <w:rsid w:val="00270DCF"/>
    <w:rsid w:val="0027374C"/>
    <w:rsid w:val="00292B39"/>
    <w:rsid w:val="00297EAB"/>
    <w:rsid w:val="002C4D2D"/>
    <w:rsid w:val="002E220D"/>
    <w:rsid w:val="002F0FF7"/>
    <w:rsid w:val="00300D46"/>
    <w:rsid w:val="0034648D"/>
    <w:rsid w:val="003476D6"/>
    <w:rsid w:val="0039369C"/>
    <w:rsid w:val="003D3F2D"/>
    <w:rsid w:val="003D52CF"/>
    <w:rsid w:val="00450632"/>
    <w:rsid w:val="00450D9F"/>
    <w:rsid w:val="00463C32"/>
    <w:rsid w:val="00474217"/>
    <w:rsid w:val="004803BA"/>
    <w:rsid w:val="00486B4A"/>
    <w:rsid w:val="00492A11"/>
    <w:rsid w:val="004D3AD5"/>
    <w:rsid w:val="004D3E6A"/>
    <w:rsid w:val="004F647A"/>
    <w:rsid w:val="00500866"/>
    <w:rsid w:val="00544366"/>
    <w:rsid w:val="00554121"/>
    <w:rsid w:val="0056402A"/>
    <w:rsid w:val="0057745D"/>
    <w:rsid w:val="005A19AE"/>
    <w:rsid w:val="005A304E"/>
    <w:rsid w:val="005C319C"/>
    <w:rsid w:val="005E03D7"/>
    <w:rsid w:val="005E5D33"/>
    <w:rsid w:val="005F0237"/>
    <w:rsid w:val="00600199"/>
    <w:rsid w:val="0060460F"/>
    <w:rsid w:val="00604BC6"/>
    <w:rsid w:val="00616ECC"/>
    <w:rsid w:val="00617B6A"/>
    <w:rsid w:val="0062362D"/>
    <w:rsid w:val="00625A1F"/>
    <w:rsid w:val="0064318C"/>
    <w:rsid w:val="00645D38"/>
    <w:rsid w:val="006709FA"/>
    <w:rsid w:val="00671C6C"/>
    <w:rsid w:val="00672AFC"/>
    <w:rsid w:val="00685294"/>
    <w:rsid w:val="007502DC"/>
    <w:rsid w:val="00754477"/>
    <w:rsid w:val="007560AC"/>
    <w:rsid w:val="007577CC"/>
    <w:rsid w:val="0077302D"/>
    <w:rsid w:val="00774F9C"/>
    <w:rsid w:val="007934D3"/>
    <w:rsid w:val="00795A69"/>
    <w:rsid w:val="00797332"/>
    <w:rsid w:val="007B4658"/>
    <w:rsid w:val="007B4AA1"/>
    <w:rsid w:val="007C3C06"/>
    <w:rsid w:val="007D051D"/>
    <w:rsid w:val="007E2D9F"/>
    <w:rsid w:val="007E6FAE"/>
    <w:rsid w:val="00803AAE"/>
    <w:rsid w:val="00861142"/>
    <w:rsid w:val="00862CF9"/>
    <w:rsid w:val="008876E5"/>
    <w:rsid w:val="00890B0B"/>
    <w:rsid w:val="008A1473"/>
    <w:rsid w:val="008A4F3A"/>
    <w:rsid w:val="008C4757"/>
    <w:rsid w:val="008D6C44"/>
    <w:rsid w:val="008E10B1"/>
    <w:rsid w:val="008E47D9"/>
    <w:rsid w:val="008E639D"/>
    <w:rsid w:val="008E6C4F"/>
    <w:rsid w:val="00901813"/>
    <w:rsid w:val="009178B9"/>
    <w:rsid w:val="0092342B"/>
    <w:rsid w:val="00930C1F"/>
    <w:rsid w:val="00963A08"/>
    <w:rsid w:val="00976C13"/>
    <w:rsid w:val="00996C2E"/>
    <w:rsid w:val="009A225A"/>
    <w:rsid w:val="00A025B3"/>
    <w:rsid w:val="00A041EE"/>
    <w:rsid w:val="00A05BE7"/>
    <w:rsid w:val="00A07C41"/>
    <w:rsid w:val="00A14A43"/>
    <w:rsid w:val="00A4515B"/>
    <w:rsid w:val="00A93F45"/>
    <w:rsid w:val="00AA3C2B"/>
    <w:rsid w:val="00AB0DB2"/>
    <w:rsid w:val="00AD4ADB"/>
    <w:rsid w:val="00AE15CF"/>
    <w:rsid w:val="00AF4ACE"/>
    <w:rsid w:val="00B13126"/>
    <w:rsid w:val="00B307E8"/>
    <w:rsid w:val="00B51C72"/>
    <w:rsid w:val="00B87C93"/>
    <w:rsid w:val="00B91659"/>
    <w:rsid w:val="00BA1966"/>
    <w:rsid w:val="00BC4877"/>
    <w:rsid w:val="00BD0014"/>
    <w:rsid w:val="00BF7ABE"/>
    <w:rsid w:val="00C01E43"/>
    <w:rsid w:val="00C243D4"/>
    <w:rsid w:val="00C27E7C"/>
    <w:rsid w:val="00C37212"/>
    <w:rsid w:val="00C4082A"/>
    <w:rsid w:val="00C645E9"/>
    <w:rsid w:val="00C7012E"/>
    <w:rsid w:val="00C83846"/>
    <w:rsid w:val="00CB0D6E"/>
    <w:rsid w:val="00CC6497"/>
    <w:rsid w:val="00D06C03"/>
    <w:rsid w:val="00D47B8D"/>
    <w:rsid w:val="00D76573"/>
    <w:rsid w:val="00DB309A"/>
    <w:rsid w:val="00DC1C90"/>
    <w:rsid w:val="00DE2B89"/>
    <w:rsid w:val="00DE4CB1"/>
    <w:rsid w:val="00E03B64"/>
    <w:rsid w:val="00E20290"/>
    <w:rsid w:val="00E63EA1"/>
    <w:rsid w:val="00E80C2D"/>
    <w:rsid w:val="00E847FC"/>
    <w:rsid w:val="00E859C7"/>
    <w:rsid w:val="00E94FBC"/>
    <w:rsid w:val="00EA125A"/>
    <w:rsid w:val="00EA5E75"/>
    <w:rsid w:val="00EC78D4"/>
    <w:rsid w:val="00EF1295"/>
    <w:rsid w:val="00F06E46"/>
    <w:rsid w:val="00F21D05"/>
    <w:rsid w:val="00F73B91"/>
    <w:rsid w:val="00F8553B"/>
    <w:rsid w:val="00FA2DE4"/>
    <w:rsid w:val="00FB0696"/>
    <w:rsid w:val="00FE72F2"/>
    <w:rsid w:val="00FF06E2"/>
    <w:rsid w:val="00FF1B93"/>
    <w:rsid w:val="00FF6CC6"/>
    <w:rsid w:val="01225CF4"/>
    <w:rsid w:val="03043FBD"/>
    <w:rsid w:val="066A6B93"/>
    <w:rsid w:val="0A9AF86C"/>
    <w:rsid w:val="0AD00FAF"/>
    <w:rsid w:val="101C53D0"/>
    <w:rsid w:val="14780F06"/>
    <w:rsid w:val="14C14FD7"/>
    <w:rsid w:val="1556BCE2"/>
    <w:rsid w:val="158E0B7E"/>
    <w:rsid w:val="1AE6546B"/>
    <w:rsid w:val="1C117572"/>
    <w:rsid w:val="1C1D113A"/>
    <w:rsid w:val="1CDCE7F2"/>
    <w:rsid w:val="1D1F4A67"/>
    <w:rsid w:val="1EE476CB"/>
    <w:rsid w:val="225A7EF0"/>
    <w:rsid w:val="2278274E"/>
    <w:rsid w:val="2337CA16"/>
    <w:rsid w:val="237205E2"/>
    <w:rsid w:val="25AA2473"/>
    <w:rsid w:val="27721806"/>
    <w:rsid w:val="27931D57"/>
    <w:rsid w:val="316EECF7"/>
    <w:rsid w:val="32A3BE71"/>
    <w:rsid w:val="36067964"/>
    <w:rsid w:val="37E12D7C"/>
    <w:rsid w:val="389B0BE3"/>
    <w:rsid w:val="38CE65DD"/>
    <w:rsid w:val="3A0EB734"/>
    <w:rsid w:val="3A4EE674"/>
    <w:rsid w:val="3DCBF247"/>
    <w:rsid w:val="44CBF2A4"/>
    <w:rsid w:val="44D3DF2F"/>
    <w:rsid w:val="4605B9A4"/>
    <w:rsid w:val="463133BB"/>
    <w:rsid w:val="46556316"/>
    <w:rsid w:val="471FAA84"/>
    <w:rsid w:val="49A75052"/>
    <w:rsid w:val="4B4320B3"/>
    <w:rsid w:val="4D3CDE14"/>
    <w:rsid w:val="4D888FED"/>
    <w:rsid w:val="4E70F326"/>
    <w:rsid w:val="4F7D2BAF"/>
    <w:rsid w:val="4FB08225"/>
    <w:rsid w:val="5293384E"/>
    <w:rsid w:val="53EEB5EB"/>
    <w:rsid w:val="569263AD"/>
    <w:rsid w:val="5837B531"/>
    <w:rsid w:val="58559E7E"/>
    <w:rsid w:val="58E86552"/>
    <w:rsid w:val="5909170C"/>
    <w:rsid w:val="5AE65E35"/>
    <w:rsid w:val="5B31AE96"/>
    <w:rsid w:val="5D924716"/>
    <w:rsid w:val="60BA24FE"/>
    <w:rsid w:val="6123B5F4"/>
    <w:rsid w:val="61E0E7FF"/>
    <w:rsid w:val="6656CA85"/>
    <w:rsid w:val="68C547F6"/>
    <w:rsid w:val="6931481A"/>
    <w:rsid w:val="6BE69B51"/>
    <w:rsid w:val="6E38A787"/>
    <w:rsid w:val="6E9E8499"/>
    <w:rsid w:val="6F0E7489"/>
    <w:rsid w:val="7215646B"/>
    <w:rsid w:val="727C92BB"/>
    <w:rsid w:val="738005F8"/>
    <w:rsid w:val="78449DFE"/>
    <w:rsid w:val="78A4D43E"/>
    <w:rsid w:val="7946E462"/>
    <w:rsid w:val="7A9BEC4B"/>
    <w:rsid w:val="7AB31B6F"/>
    <w:rsid w:val="7B9AAAB8"/>
    <w:rsid w:val="7C5D9317"/>
    <w:rsid w:val="7E1AAB31"/>
    <w:rsid w:val="7E9AB725"/>
    <w:rsid w:val="7EB67C87"/>
    <w:rsid w:val="7F5B892F"/>
    <w:rsid w:val="7FBE9AEE"/>
    <w:rsid w:val="7FC78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91FD"/>
  <w15:chartTrackingRefBased/>
  <w15:docId w15:val="{8BE61DEC-C247-42B3-BB9A-2F3AF4C7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556BCE2"/>
  </w:style>
  <w:style w:type="paragraph" w:styleId="Heading1">
    <w:name w:val="heading 1"/>
    <w:basedOn w:val="Normal"/>
    <w:next w:val="Normal"/>
    <w:link w:val="Heading1Char"/>
    <w:uiPriority w:val="9"/>
    <w:qFormat/>
    <w:rsid w:val="1556BC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556BC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556BCE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556BC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556BCE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556BCE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556BCE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556BCE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556BCE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1556BCE2"/>
    <w:pPr>
      <w:ind w:left="720"/>
      <w:contextualSpacing/>
    </w:pPr>
  </w:style>
  <w:style w:type="character" w:customStyle="1" w:styleId="normaltextrun">
    <w:name w:val="normaltextrun"/>
    <w:basedOn w:val="DefaultParagraphFont"/>
    <w:rsid w:val="00492A11"/>
  </w:style>
  <w:style w:type="character" w:customStyle="1" w:styleId="eop">
    <w:name w:val="eop"/>
    <w:basedOn w:val="DefaultParagraphFont"/>
    <w:rsid w:val="00492A11"/>
  </w:style>
  <w:style w:type="character" w:customStyle="1" w:styleId="spellingerror">
    <w:name w:val="spellingerror"/>
    <w:basedOn w:val="DefaultParagraphFont"/>
    <w:rsid w:val="0039369C"/>
  </w:style>
  <w:style w:type="character" w:customStyle="1" w:styleId="contextualspellingandgrammarerror">
    <w:name w:val="contextualspellingandgrammarerror"/>
    <w:basedOn w:val="DefaultParagraphFont"/>
    <w:rsid w:val="00A041EE"/>
  </w:style>
  <w:style w:type="table" w:customStyle="1" w:styleId="TableGrid11">
    <w:name w:val="Table Grid11"/>
    <w:basedOn w:val="TableNormal"/>
    <w:next w:val="TableGrid"/>
    <w:uiPriority w:val="39"/>
    <w:rsid w:val="00685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1556BCE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556BCE2"/>
    <w:rPr>
      <w:rFonts w:eastAsiaTheme="minorEastAsia"/>
      <w:color w:val="5A5A5A"/>
    </w:rPr>
  </w:style>
  <w:style w:type="paragraph" w:styleId="Quote">
    <w:name w:val="Quote"/>
    <w:basedOn w:val="Normal"/>
    <w:next w:val="Normal"/>
    <w:link w:val="QuoteChar"/>
    <w:uiPriority w:val="29"/>
    <w:qFormat/>
    <w:rsid w:val="1556BCE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56BCE2"/>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1556BCE2"/>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1556BCE2"/>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1556BCE2"/>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1556BCE2"/>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1556BCE2"/>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1556BCE2"/>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1556BCE2"/>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1556BCE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1556BCE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1556BCE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1556BCE2"/>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1556BCE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556BCE2"/>
    <w:rPr>
      <w:i/>
      <w:iCs/>
      <w:noProof w:val="0"/>
      <w:color w:val="4472C4" w:themeColor="accent1"/>
      <w:lang w:val="en-GB"/>
    </w:rPr>
  </w:style>
  <w:style w:type="paragraph" w:styleId="TOC1">
    <w:name w:val="toc 1"/>
    <w:basedOn w:val="Normal"/>
    <w:next w:val="Normal"/>
    <w:uiPriority w:val="39"/>
    <w:unhideWhenUsed/>
    <w:rsid w:val="1556BCE2"/>
    <w:pPr>
      <w:spacing w:after="100"/>
    </w:pPr>
  </w:style>
  <w:style w:type="paragraph" w:styleId="TOC2">
    <w:name w:val="toc 2"/>
    <w:basedOn w:val="Normal"/>
    <w:next w:val="Normal"/>
    <w:uiPriority w:val="39"/>
    <w:unhideWhenUsed/>
    <w:rsid w:val="1556BCE2"/>
    <w:pPr>
      <w:spacing w:after="100"/>
      <w:ind w:left="220"/>
    </w:pPr>
  </w:style>
  <w:style w:type="paragraph" w:styleId="TOC3">
    <w:name w:val="toc 3"/>
    <w:basedOn w:val="Normal"/>
    <w:next w:val="Normal"/>
    <w:uiPriority w:val="39"/>
    <w:unhideWhenUsed/>
    <w:rsid w:val="1556BCE2"/>
    <w:pPr>
      <w:spacing w:after="100"/>
      <w:ind w:left="440"/>
    </w:pPr>
  </w:style>
  <w:style w:type="paragraph" w:styleId="TOC4">
    <w:name w:val="toc 4"/>
    <w:basedOn w:val="Normal"/>
    <w:next w:val="Normal"/>
    <w:uiPriority w:val="39"/>
    <w:unhideWhenUsed/>
    <w:rsid w:val="1556BCE2"/>
    <w:pPr>
      <w:spacing w:after="100"/>
      <w:ind w:left="660"/>
    </w:pPr>
  </w:style>
  <w:style w:type="paragraph" w:styleId="TOC5">
    <w:name w:val="toc 5"/>
    <w:basedOn w:val="Normal"/>
    <w:next w:val="Normal"/>
    <w:uiPriority w:val="39"/>
    <w:unhideWhenUsed/>
    <w:rsid w:val="1556BCE2"/>
    <w:pPr>
      <w:spacing w:after="100"/>
      <w:ind w:left="880"/>
    </w:pPr>
  </w:style>
  <w:style w:type="paragraph" w:styleId="TOC6">
    <w:name w:val="toc 6"/>
    <w:basedOn w:val="Normal"/>
    <w:next w:val="Normal"/>
    <w:uiPriority w:val="39"/>
    <w:unhideWhenUsed/>
    <w:rsid w:val="1556BCE2"/>
    <w:pPr>
      <w:spacing w:after="100"/>
      <w:ind w:left="1100"/>
    </w:pPr>
  </w:style>
  <w:style w:type="paragraph" w:styleId="TOC7">
    <w:name w:val="toc 7"/>
    <w:basedOn w:val="Normal"/>
    <w:next w:val="Normal"/>
    <w:uiPriority w:val="39"/>
    <w:unhideWhenUsed/>
    <w:rsid w:val="1556BCE2"/>
    <w:pPr>
      <w:spacing w:after="100"/>
      <w:ind w:left="1320"/>
    </w:pPr>
  </w:style>
  <w:style w:type="paragraph" w:styleId="TOC8">
    <w:name w:val="toc 8"/>
    <w:basedOn w:val="Normal"/>
    <w:next w:val="Normal"/>
    <w:uiPriority w:val="39"/>
    <w:unhideWhenUsed/>
    <w:rsid w:val="1556BCE2"/>
    <w:pPr>
      <w:spacing w:after="100"/>
      <w:ind w:left="1540"/>
    </w:pPr>
  </w:style>
  <w:style w:type="paragraph" w:styleId="TOC9">
    <w:name w:val="toc 9"/>
    <w:basedOn w:val="Normal"/>
    <w:next w:val="Normal"/>
    <w:uiPriority w:val="39"/>
    <w:unhideWhenUsed/>
    <w:rsid w:val="1556BCE2"/>
    <w:pPr>
      <w:spacing w:after="100"/>
      <w:ind w:left="1760"/>
    </w:pPr>
  </w:style>
  <w:style w:type="paragraph" w:styleId="EndnoteText">
    <w:name w:val="endnote text"/>
    <w:basedOn w:val="Normal"/>
    <w:link w:val="EndnoteTextChar"/>
    <w:uiPriority w:val="99"/>
    <w:semiHidden/>
    <w:unhideWhenUsed/>
    <w:rsid w:val="1556BCE2"/>
    <w:pPr>
      <w:spacing w:after="0"/>
    </w:pPr>
    <w:rPr>
      <w:sz w:val="20"/>
      <w:szCs w:val="20"/>
    </w:rPr>
  </w:style>
  <w:style w:type="character" w:customStyle="1" w:styleId="EndnoteTextChar">
    <w:name w:val="Endnote Text Char"/>
    <w:basedOn w:val="DefaultParagraphFont"/>
    <w:link w:val="EndnoteText"/>
    <w:uiPriority w:val="99"/>
    <w:semiHidden/>
    <w:rsid w:val="1556BCE2"/>
    <w:rPr>
      <w:noProof w:val="0"/>
      <w:sz w:val="20"/>
      <w:szCs w:val="20"/>
      <w:lang w:val="en-GB"/>
    </w:rPr>
  </w:style>
  <w:style w:type="paragraph" w:styleId="Footer">
    <w:name w:val="footer"/>
    <w:basedOn w:val="Normal"/>
    <w:link w:val="FooterChar"/>
    <w:uiPriority w:val="99"/>
    <w:unhideWhenUsed/>
    <w:rsid w:val="1556BCE2"/>
    <w:pPr>
      <w:tabs>
        <w:tab w:val="center" w:pos="4680"/>
        <w:tab w:val="right" w:pos="9360"/>
      </w:tabs>
      <w:spacing w:after="0"/>
    </w:pPr>
  </w:style>
  <w:style w:type="character" w:customStyle="1" w:styleId="FooterChar">
    <w:name w:val="Footer Char"/>
    <w:basedOn w:val="DefaultParagraphFont"/>
    <w:link w:val="Footer"/>
    <w:uiPriority w:val="99"/>
    <w:rsid w:val="1556BCE2"/>
    <w:rPr>
      <w:noProof w:val="0"/>
      <w:lang w:val="en-GB"/>
    </w:rPr>
  </w:style>
  <w:style w:type="paragraph" w:styleId="FootnoteText">
    <w:name w:val="footnote text"/>
    <w:basedOn w:val="Normal"/>
    <w:link w:val="FootnoteTextChar"/>
    <w:uiPriority w:val="99"/>
    <w:semiHidden/>
    <w:unhideWhenUsed/>
    <w:rsid w:val="1556BCE2"/>
    <w:pPr>
      <w:spacing w:after="0"/>
    </w:pPr>
    <w:rPr>
      <w:sz w:val="20"/>
      <w:szCs w:val="20"/>
    </w:rPr>
  </w:style>
  <w:style w:type="character" w:customStyle="1" w:styleId="FootnoteTextChar">
    <w:name w:val="Footnote Text Char"/>
    <w:basedOn w:val="DefaultParagraphFont"/>
    <w:link w:val="FootnoteText"/>
    <w:uiPriority w:val="99"/>
    <w:semiHidden/>
    <w:rsid w:val="1556BCE2"/>
    <w:rPr>
      <w:noProof w:val="0"/>
      <w:sz w:val="20"/>
      <w:szCs w:val="20"/>
      <w:lang w:val="en-GB"/>
    </w:rPr>
  </w:style>
  <w:style w:type="paragraph" w:styleId="Header">
    <w:name w:val="header"/>
    <w:basedOn w:val="Normal"/>
    <w:link w:val="HeaderChar"/>
    <w:uiPriority w:val="99"/>
    <w:unhideWhenUsed/>
    <w:rsid w:val="1556BCE2"/>
    <w:pPr>
      <w:tabs>
        <w:tab w:val="center" w:pos="4680"/>
        <w:tab w:val="right" w:pos="9360"/>
      </w:tabs>
      <w:spacing w:after="0"/>
    </w:pPr>
  </w:style>
  <w:style w:type="character" w:customStyle="1" w:styleId="HeaderChar">
    <w:name w:val="Header Char"/>
    <w:basedOn w:val="DefaultParagraphFont"/>
    <w:link w:val="Header"/>
    <w:uiPriority w:val="99"/>
    <w:rsid w:val="1556BCE2"/>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53792">
      <w:bodyDiv w:val="1"/>
      <w:marLeft w:val="0"/>
      <w:marRight w:val="0"/>
      <w:marTop w:val="0"/>
      <w:marBottom w:val="0"/>
      <w:divBdr>
        <w:top w:val="none" w:sz="0" w:space="0" w:color="auto"/>
        <w:left w:val="none" w:sz="0" w:space="0" w:color="auto"/>
        <w:bottom w:val="none" w:sz="0" w:space="0" w:color="auto"/>
        <w:right w:val="none" w:sz="0" w:space="0" w:color="auto"/>
      </w:divBdr>
    </w:div>
    <w:div w:id="1988389252">
      <w:bodyDiv w:val="1"/>
      <w:marLeft w:val="0"/>
      <w:marRight w:val="0"/>
      <w:marTop w:val="0"/>
      <w:marBottom w:val="0"/>
      <w:divBdr>
        <w:top w:val="none" w:sz="0" w:space="0" w:color="auto"/>
        <w:left w:val="none" w:sz="0" w:space="0" w:color="auto"/>
        <w:bottom w:val="none" w:sz="0" w:space="0" w:color="auto"/>
        <w:right w:val="none" w:sz="0" w:space="0" w:color="auto"/>
      </w:divBdr>
      <w:divsChild>
        <w:div w:id="1304195969">
          <w:marLeft w:val="0"/>
          <w:marRight w:val="0"/>
          <w:marTop w:val="0"/>
          <w:marBottom w:val="0"/>
          <w:divBdr>
            <w:top w:val="none" w:sz="0" w:space="0" w:color="auto"/>
            <w:left w:val="none" w:sz="0" w:space="0" w:color="auto"/>
            <w:bottom w:val="none" w:sz="0" w:space="0" w:color="auto"/>
            <w:right w:val="none" w:sz="0" w:space="0" w:color="auto"/>
          </w:divBdr>
        </w:div>
        <w:div w:id="522523052">
          <w:marLeft w:val="0"/>
          <w:marRight w:val="0"/>
          <w:marTop w:val="0"/>
          <w:marBottom w:val="0"/>
          <w:divBdr>
            <w:top w:val="none" w:sz="0" w:space="0" w:color="auto"/>
            <w:left w:val="none" w:sz="0" w:space="0" w:color="auto"/>
            <w:bottom w:val="none" w:sz="0" w:space="0" w:color="auto"/>
            <w:right w:val="none" w:sz="0" w:space="0" w:color="auto"/>
          </w:divBdr>
        </w:div>
        <w:div w:id="467209138">
          <w:marLeft w:val="0"/>
          <w:marRight w:val="0"/>
          <w:marTop w:val="0"/>
          <w:marBottom w:val="0"/>
          <w:divBdr>
            <w:top w:val="none" w:sz="0" w:space="0" w:color="auto"/>
            <w:left w:val="none" w:sz="0" w:space="0" w:color="auto"/>
            <w:bottom w:val="none" w:sz="0" w:space="0" w:color="auto"/>
            <w:right w:val="none" w:sz="0" w:space="0" w:color="auto"/>
          </w:divBdr>
        </w:div>
        <w:div w:id="456876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Admin</DisplayName>
        <AccountId>277</AccountId>
        <AccountType/>
      </UserInfo>
      <UserInfo>
        <DisplayName>K Jackson</DisplayName>
        <AccountId>15</AccountId>
        <AccountType/>
      </UserInfo>
    </SharedWithUsers>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a627652fab8ba61a46e2f134e13373ec">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2848179f2c278033e3ba5f12b1860eb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29625a-3f8e-4714-a39f-781a34a8259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08A0C-00EB-4206-920F-4C2586D72849}">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CE8631A2-9DA8-4B3E-9665-380A1BF1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8D8EE-2268-4924-9BF6-078DDB824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Jackson</dc:creator>
  <cp:keywords/>
  <dc:description/>
  <cp:lastModifiedBy>C Warrender</cp:lastModifiedBy>
  <cp:revision>48</cp:revision>
  <dcterms:created xsi:type="dcterms:W3CDTF">2024-08-30T12:37:00Z</dcterms:created>
  <dcterms:modified xsi:type="dcterms:W3CDTF">2024-08-30T13:37:00Z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277;#Admin;#15;#K Jackson</vt:lpwstr>
  </property>
  <property fmtid="{D5CDD505-2E9C-101B-9397-08002B2CF9AE}" pid="13" name="Order">
    <vt:r8>29900</vt:r8>
  </property>
</Properties>
</file>